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6A585279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77777777"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60A" w14:textId="0DEAEC60" w:rsidR="0067181B" w:rsidRPr="00DB4923" w:rsidRDefault="0067181B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5.1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Data :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25/07/2025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3F15560A" w14:textId="0DEAEC60" w:rsidR="0067181B" w:rsidRPr="00DB4923" w:rsidRDefault="0067181B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5.1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Data :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25/07/2025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F558D38" w14:textId="05EF8F6D" w:rsidR="004929FD" w:rsidRDefault="004929FD" w:rsidP="0067181B">
      <w:pPr>
        <w:jc w:val="center"/>
        <w:rPr>
          <w:b/>
          <w:sz w:val="40"/>
        </w:rPr>
      </w:pPr>
      <w:proofErr w:type="spellStart"/>
      <w:r>
        <w:rPr>
          <w:b/>
          <w:sz w:val="40"/>
        </w:rPr>
        <w:t>Sitagliptin</w:t>
      </w:r>
      <w:proofErr w:type="spellEnd"/>
      <w:r>
        <w:rPr>
          <w:b/>
          <w:sz w:val="40"/>
        </w:rPr>
        <w:t xml:space="preserve"> Abdi </w:t>
      </w:r>
    </w:p>
    <w:p w14:paraId="5A764497" w14:textId="77777777"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5E8265B" w14:textId="4121F937" w:rsidR="004609F8" w:rsidRDefault="004241AC" w:rsidP="0067181B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 xml:space="preserve"> (</w:t>
      </w:r>
      <w:proofErr w:type="spellStart"/>
      <w:r w:rsidR="0067181B" w:rsidRPr="0067181B">
        <w:rPr>
          <w:rFonts w:cstheme="minorHAnsi"/>
          <w:snapToGrid w:val="0"/>
          <w:sz w:val="24"/>
          <w:szCs w:val="24"/>
        </w:rPr>
        <w:t>sitagliptin</w:t>
      </w:r>
      <w:proofErr w:type="spellEnd"/>
      <w:r w:rsidR="002A1800" w:rsidRPr="00A31CC1">
        <w:rPr>
          <w:rFonts w:cstheme="minorHAnsi"/>
          <w:snapToGrid w:val="0"/>
          <w:sz w:val="24"/>
          <w:szCs w:val="24"/>
        </w:rPr>
        <w:t>,</w:t>
      </w:r>
      <w:r w:rsidR="0067181B">
        <w:rPr>
          <w:rFonts w:cstheme="minorHAnsi"/>
          <w:snapToGrid w:val="0"/>
          <w:sz w:val="24"/>
          <w:szCs w:val="24"/>
        </w:rPr>
        <w:t xml:space="preserve"> </w:t>
      </w:r>
      <w:r w:rsidR="0067181B" w:rsidRPr="0067181B">
        <w:rPr>
          <w:rFonts w:cstheme="minorHAnsi"/>
          <w:snapToGrid w:val="0"/>
          <w:sz w:val="24"/>
          <w:szCs w:val="24"/>
        </w:rPr>
        <w:t xml:space="preserve">25 mg, 50 mg, 100 mg, </w:t>
      </w:r>
      <w:r w:rsidR="0067181B">
        <w:rPr>
          <w:rFonts w:cstheme="minorHAnsi"/>
          <w:snapToGrid w:val="0"/>
          <w:sz w:val="24"/>
          <w:szCs w:val="24"/>
        </w:rPr>
        <w:t>compresse rivestite con film)</w:t>
      </w:r>
    </w:p>
    <w:p w14:paraId="4F627AC3" w14:textId="77777777" w:rsidR="0067181B" w:rsidRDefault="0067181B" w:rsidP="0067181B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19A63BA3" w14:textId="77777777" w:rsidR="0067181B" w:rsidRPr="00A31CC1" w:rsidRDefault="0067181B" w:rsidP="0067181B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CAC476" w14:textId="7847F70B" w:rsidR="00EC3589" w:rsidRPr="00A31CC1" w:rsidRDefault="0067181B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7181B">
        <w:rPr>
          <w:rFonts w:cstheme="minorHAnsi"/>
          <w:b/>
          <w:sz w:val="24"/>
          <w:szCs w:val="24"/>
        </w:rPr>
        <w:t xml:space="preserve">Abdi </w:t>
      </w:r>
      <w:proofErr w:type="spellStart"/>
      <w:r w:rsidRPr="0067181B">
        <w:rPr>
          <w:rFonts w:cstheme="minorHAnsi"/>
          <w:b/>
          <w:sz w:val="24"/>
          <w:szCs w:val="24"/>
        </w:rPr>
        <w:t>Farma</w:t>
      </w:r>
      <w:proofErr w:type="spellEnd"/>
      <w:r w:rsidRPr="0067181B">
        <w:rPr>
          <w:rFonts w:cstheme="minorHAnsi"/>
          <w:b/>
          <w:sz w:val="24"/>
          <w:szCs w:val="24"/>
        </w:rPr>
        <w:t xml:space="preserve"> </w:t>
      </w:r>
      <w:proofErr w:type="spellStart"/>
      <w:r w:rsidRPr="0067181B">
        <w:rPr>
          <w:rFonts w:cstheme="minorHAnsi"/>
          <w:b/>
          <w:sz w:val="24"/>
          <w:szCs w:val="24"/>
        </w:rPr>
        <w:t>GmbH</w:t>
      </w:r>
      <w:proofErr w:type="spellEnd"/>
      <w:r w:rsidRPr="0067181B">
        <w:rPr>
          <w:rFonts w:cstheme="minorHAnsi"/>
          <w:b/>
          <w:sz w:val="24"/>
          <w:szCs w:val="24"/>
        </w:rPr>
        <w:t>.</w:t>
      </w:r>
      <w:r w:rsidR="00BF7A42" w:rsidRPr="00A31CC1">
        <w:rPr>
          <w:rFonts w:cstheme="minorHAnsi"/>
          <w:b/>
          <w:sz w:val="24"/>
          <w:szCs w:val="24"/>
        </w:rPr>
        <w:t xml:space="preserve"> </w:t>
      </w:r>
    </w:p>
    <w:p w14:paraId="6CDFC0E6" w14:textId="77777777"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2C1EF4A1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67181B">
        <w:rPr>
          <w:rFonts w:cstheme="minorHAnsi"/>
          <w:b/>
          <w:sz w:val="24"/>
          <w:szCs w:val="24"/>
        </w:rPr>
        <w:t>052255</w:t>
      </w:r>
    </w:p>
    <w:p w14:paraId="73438203" w14:textId="77777777"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7FDF9E3A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6280514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EEFEE30" w14:textId="18649C92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6DB87842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COS’È </w:t>
      </w:r>
      <w:r w:rsidR="0067181B">
        <w:rPr>
          <w:rFonts w:eastAsia="Calibri" w:cstheme="minorHAnsi"/>
          <w:b/>
          <w:color w:val="000000"/>
          <w:sz w:val="24"/>
          <w:szCs w:val="24"/>
          <w:lang w:eastAsia="it-IT"/>
        </w:rPr>
        <w:t>SITAGLIPTIN ABDI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5EE96742" w14:textId="7257D3EE" w:rsidR="00797416" w:rsidRPr="00A31CC1" w:rsidRDefault="0067181B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medicinale contenente il principio attivo </w:t>
      </w:r>
      <w:proofErr w:type="spellStart"/>
      <w:r w:rsidR="0023205C">
        <w:rPr>
          <w:rFonts w:eastAsia="Calibri" w:cstheme="minorHAnsi"/>
          <w:color w:val="000000"/>
          <w:sz w:val="24"/>
          <w:szCs w:val="24"/>
          <w:lang w:eastAsia="it-IT"/>
        </w:rPr>
        <w:t>sitagliptin</w:t>
      </w:r>
      <w:proofErr w:type="spellEnd"/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è disponibile come:</w:t>
      </w:r>
    </w:p>
    <w:p w14:paraId="59077112" w14:textId="77777777" w:rsidR="0023205C" w:rsidRDefault="00797416" w:rsidP="0023205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compresse</w:t>
      </w:r>
      <w:r w:rsidR="0023205C">
        <w:rPr>
          <w:rFonts w:eastAsia="Calibri" w:cstheme="minorHAnsi"/>
          <w:color w:val="000000"/>
          <w:sz w:val="24"/>
          <w:szCs w:val="24"/>
          <w:lang w:eastAsia="it-IT"/>
        </w:rPr>
        <w:t xml:space="preserve"> rivestite con film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contenent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3205C">
        <w:rPr>
          <w:rFonts w:eastAsia="Calibri" w:cstheme="minorHAnsi"/>
          <w:color w:val="000000"/>
          <w:sz w:val="24"/>
          <w:szCs w:val="24"/>
          <w:lang w:eastAsia="it-IT"/>
        </w:rPr>
        <w:t>25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mg</w:t>
      </w:r>
      <w:r w:rsidR="0023205C">
        <w:rPr>
          <w:rFonts w:eastAsia="Calibri" w:cstheme="minorHAnsi"/>
          <w:color w:val="000000"/>
          <w:sz w:val="24"/>
          <w:szCs w:val="24"/>
          <w:lang w:eastAsia="it-IT"/>
        </w:rPr>
        <w:t>, 50 mg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 </w:t>
      </w:r>
      <w:r w:rsidR="0023205C">
        <w:rPr>
          <w:rFonts w:eastAsia="Calibri" w:cstheme="minorHAnsi"/>
          <w:color w:val="000000"/>
          <w:sz w:val="24"/>
          <w:szCs w:val="24"/>
          <w:lang w:eastAsia="it-IT"/>
        </w:rPr>
        <w:t>100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mg di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principio attivo</w:t>
      </w:r>
      <w:r w:rsidR="0023205C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1A5E32AD" w14:textId="57D564C7" w:rsidR="00300BEA" w:rsidRPr="0023205C" w:rsidRDefault="0023205C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</w:p>
    <w:p w14:paraId="5466A0C3" w14:textId="33F0476E" w:rsidR="00ED19E3" w:rsidRPr="00A31CC1" w:rsidRDefault="0067181B" w:rsidP="0023205C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proofErr w:type="spellStart"/>
      <w:r w:rsidR="0023205C">
        <w:rPr>
          <w:rFonts w:eastAsia="Calibri" w:cstheme="minorHAnsi"/>
          <w:color w:val="000000"/>
          <w:sz w:val="24"/>
          <w:szCs w:val="24"/>
          <w:lang w:eastAsia="it-IT"/>
        </w:rPr>
        <w:t>Januvia</w:t>
      </w:r>
      <w:proofErr w:type="spellEnd"/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C058E1" w:rsidRPr="00A31CC1">
        <w:rPr>
          <w:rFonts w:eastAsia="Calibri" w:cstheme="minorHAnsi"/>
          <w:color w:val="000000"/>
          <w:sz w:val="24"/>
          <w:szCs w:val="24"/>
          <w:lang w:eastAsia="it-IT"/>
        </w:rPr>
        <w:t>autorizzato</w:t>
      </w:r>
      <w:r w:rsidR="0023205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76F77" w:rsidRPr="00A31CC1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>in Italia</w:t>
      </w:r>
      <w:r w:rsidR="00A84362" w:rsidRPr="00A31CC1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 xml:space="preserve">da </w:t>
      </w:r>
      <w:r w:rsidR="00CC1489" w:rsidRPr="00A31CC1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>almeno 8 anni</w:t>
      </w:r>
      <w:r w:rsidR="00EA2159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>&gt;</w:t>
      </w:r>
      <w:r w:rsidR="00F67DFC" w:rsidRPr="00A31CC1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 xml:space="preserve">.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B15135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15135" w:rsidRPr="00A31CC1">
        <w:rPr>
          <w:rFonts w:cstheme="minorHAnsi"/>
          <w:color w:val="000000"/>
          <w:sz w:val="24"/>
          <w:szCs w:val="24"/>
        </w:rPr>
        <w:t xml:space="preserve">può essere immesso in commercio solo dopo che sono trascorsi 10 anni dall'autorizzazione iniziale del medicinale di riferimento. 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Sul sito dell’Agenz</w:t>
      </w:r>
      <w:r w:rsidR="00132B98">
        <w:rPr>
          <w:rFonts w:eastAsia="Calibri" w:cstheme="minorHAnsi"/>
          <w:color w:val="000000"/>
          <w:sz w:val="24"/>
          <w:szCs w:val="24"/>
          <w:lang w:eastAsia="it-IT"/>
        </w:rPr>
        <w:t xml:space="preserve">ia Italiana del Farmaco (AIFA) </w:t>
      </w:r>
      <w:hyperlink r:id="rId9" w:anchor="/it/" w:history="1">
        <w:r w:rsidR="00132B98" w:rsidRPr="00705407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  <w:r w:rsidR="00132B9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possibile consultare il Riassunto delle caratteristiche del prodotto e il foglio illustrativo di </w:t>
      </w:r>
      <w:proofErr w:type="spellStart"/>
      <w:r w:rsidR="0023205C">
        <w:rPr>
          <w:rFonts w:eastAsia="Calibri" w:cstheme="minorHAnsi"/>
          <w:color w:val="000000"/>
          <w:sz w:val="24"/>
          <w:szCs w:val="24"/>
          <w:lang w:eastAsia="it-IT"/>
        </w:rPr>
        <w:t>Januvia</w:t>
      </w:r>
      <w:proofErr w:type="spellEnd"/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00323A67" w14:textId="77777777"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1F72190" w14:textId="29A4EF37" w:rsidR="00BB2AF8" w:rsidRPr="005A37E4" w:rsidRDefault="0067181B" w:rsidP="00300BE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i/>
          <w:color w:val="000000"/>
          <w:sz w:val="24"/>
          <w:szCs w:val="24"/>
          <w:lang w:eastAsia="it-IT"/>
        </w:rPr>
      </w:pPr>
      <w:r w:rsidRPr="000F3B7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300BEA" w:rsidRPr="000F3B7B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0F3B7B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0F3B7B">
        <w:rPr>
          <w:rFonts w:eastAsia="Calibri" w:cstheme="minorHAnsi"/>
          <w:sz w:val="24"/>
          <w:szCs w:val="24"/>
          <w:lang w:eastAsia="it-IT"/>
        </w:rPr>
        <w:t xml:space="preserve"> per</w:t>
      </w:r>
      <w:r w:rsidR="00BB2AF8" w:rsidRPr="000F3B7B">
        <w:rPr>
          <w:rFonts w:eastAsia="Calibri" w:cstheme="minorHAnsi"/>
          <w:sz w:val="24"/>
          <w:szCs w:val="24"/>
          <w:lang w:eastAsia="it-IT"/>
        </w:rPr>
        <w:t>:</w:t>
      </w:r>
      <w:r w:rsidR="00B03E01" w:rsidRPr="000F3B7B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2F261BFA" w14:textId="755D4FC4" w:rsidR="008B1F61" w:rsidRPr="00E65A3F" w:rsidRDefault="00823E9B" w:rsidP="008B1F61">
      <w:pPr>
        <w:tabs>
          <w:tab w:val="left" w:pos="708"/>
        </w:tabs>
        <w:spacing w:line="240" w:lineRule="auto"/>
        <w:ind w:right="-2"/>
        <w:rPr>
          <w:sz w:val="24"/>
          <w:szCs w:val="24"/>
        </w:rPr>
      </w:pPr>
      <w:proofErr w:type="spellStart"/>
      <w:r w:rsidRPr="00E65A3F">
        <w:rPr>
          <w:sz w:val="24"/>
          <w:szCs w:val="24"/>
        </w:rPr>
        <w:t>Sitagliptin</w:t>
      </w:r>
      <w:proofErr w:type="spellEnd"/>
      <w:r w:rsidRPr="00E65A3F">
        <w:rPr>
          <w:sz w:val="24"/>
          <w:szCs w:val="24"/>
        </w:rPr>
        <w:t xml:space="preserve"> </w:t>
      </w:r>
      <w:r w:rsidR="008B1F61" w:rsidRPr="00E65A3F">
        <w:rPr>
          <w:sz w:val="24"/>
          <w:szCs w:val="24"/>
        </w:rPr>
        <w:t xml:space="preserve">Abdi contiene il principio attivo </w:t>
      </w:r>
      <w:proofErr w:type="spellStart"/>
      <w:r w:rsidR="008B1F61" w:rsidRPr="00E65A3F">
        <w:rPr>
          <w:sz w:val="24"/>
          <w:szCs w:val="24"/>
        </w:rPr>
        <w:t>sitagliptin</w:t>
      </w:r>
      <w:proofErr w:type="spellEnd"/>
      <w:r w:rsidR="00AD352B" w:rsidRPr="00E65A3F">
        <w:rPr>
          <w:sz w:val="24"/>
          <w:szCs w:val="24"/>
        </w:rPr>
        <w:t>,</w:t>
      </w:r>
      <w:r w:rsidR="008B1F61" w:rsidRPr="00E65A3F">
        <w:rPr>
          <w:sz w:val="24"/>
          <w:szCs w:val="24"/>
        </w:rPr>
        <w:t xml:space="preserve"> </w:t>
      </w:r>
      <w:bookmarkStart w:id="1" w:name="_Hlk208334650"/>
      <w:r w:rsidR="008B1F61" w:rsidRPr="00E65A3F">
        <w:rPr>
          <w:sz w:val="24"/>
          <w:szCs w:val="24"/>
        </w:rPr>
        <w:t xml:space="preserve">che appartiene ad una classe di medicinali chiamati inibitori della DPP-4 (inibitori </w:t>
      </w:r>
      <w:proofErr w:type="spellStart"/>
      <w:r w:rsidR="008B1F61" w:rsidRPr="00E65A3F">
        <w:rPr>
          <w:sz w:val="24"/>
          <w:szCs w:val="24"/>
        </w:rPr>
        <w:t>dipeptidil</w:t>
      </w:r>
      <w:proofErr w:type="spellEnd"/>
      <w:r w:rsidR="008B1F61" w:rsidRPr="00E65A3F">
        <w:rPr>
          <w:sz w:val="24"/>
          <w:szCs w:val="24"/>
        </w:rPr>
        <w:t xml:space="preserve"> peptidasi-4) che abbassano i livelli dello zucchero nel sangue nei pazienti adulti con diabete mellito di tipo 2.</w:t>
      </w:r>
    </w:p>
    <w:p w14:paraId="640C0775" w14:textId="77777777" w:rsidR="008B1F61" w:rsidRPr="002E3616" w:rsidRDefault="008B1F61" w:rsidP="008B1F61">
      <w:pPr>
        <w:tabs>
          <w:tab w:val="left" w:pos="708"/>
        </w:tabs>
        <w:spacing w:line="240" w:lineRule="auto"/>
        <w:ind w:right="-2"/>
        <w:rPr>
          <w:sz w:val="24"/>
          <w:szCs w:val="24"/>
          <w:highlight w:val="yellow"/>
        </w:rPr>
      </w:pPr>
    </w:p>
    <w:bookmarkEnd w:id="1"/>
    <w:p w14:paraId="1FF892E2" w14:textId="47797CA4" w:rsidR="008B1F61" w:rsidRPr="00E65A3F" w:rsidRDefault="008B1F61" w:rsidP="008B1F61">
      <w:pPr>
        <w:tabs>
          <w:tab w:val="left" w:pos="708"/>
        </w:tabs>
        <w:spacing w:line="240" w:lineRule="auto"/>
        <w:ind w:right="-2"/>
        <w:rPr>
          <w:sz w:val="24"/>
          <w:szCs w:val="24"/>
        </w:rPr>
      </w:pPr>
      <w:r w:rsidRPr="00E65A3F">
        <w:rPr>
          <w:sz w:val="24"/>
          <w:szCs w:val="24"/>
        </w:rPr>
        <w:lastRenderedPageBreak/>
        <w:t>Questo medicinale aiuta ad aumentare i livelli di insulina prodotta dopo un pasto e diminuisce la quantità di zucchero prodotto dall’organismo.</w:t>
      </w:r>
    </w:p>
    <w:p w14:paraId="73A76A7B" w14:textId="15926A63" w:rsidR="008B1F61" w:rsidRPr="00E65A3F" w:rsidRDefault="00AD352B" w:rsidP="008B1F61">
      <w:pPr>
        <w:tabs>
          <w:tab w:val="left" w:pos="708"/>
        </w:tabs>
        <w:spacing w:line="240" w:lineRule="auto"/>
        <w:ind w:right="-2"/>
        <w:rPr>
          <w:sz w:val="24"/>
          <w:szCs w:val="24"/>
        </w:rPr>
      </w:pPr>
      <w:r w:rsidRPr="00E65A3F">
        <w:rPr>
          <w:sz w:val="24"/>
          <w:szCs w:val="24"/>
        </w:rPr>
        <w:t xml:space="preserve">Questo medicinale </w:t>
      </w:r>
      <w:r w:rsidR="008B1F61" w:rsidRPr="00E65A3F">
        <w:rPr>
          <w:sz w:val="24"/>
          <w:szCs w:val="24"/>
        </w:rPr>
        <w:t xml:space="preserve">aiuta ad abbassare il livello di zucchero nel sangue, che è troppo alto </w:t>
      </w:r>
      <w:r w:rsidR="001E591B" w:rsidRPr="00E65A3F">
        <w:rPr>
          <w:sz w:val="24"/>
          <w:szCs w:val="24"/>
        </w:rPr>
        <w:t>nelle persone con</w:t>
      </w:r>
      <w:r w:rsidR="008B1F61" w:rsidRPr="00E65A3F">
        <w:rPr>
          <w:sz w:val="24"/>
          <w:szCs w:val="24"/>
        </w:rPr>
        <w:t xml:space="preserve"> diabete di tipo 2. Questo medicinale può essere usato da solo o insieme ad altri medicinali (insulina, </w:t>
      </w:r>
      <w:proofErr w:type="spellStart"/>
      <w:r w:rsidR="008B1F61" w:rsidRPr="00E65A3F">
        <w:rPr>
          <w:sz w:val="24"/>
          <w:szCs w:val="24"/>
        </w:rPr>
        <w:t>metformina</w:t>
      </w:r>
      <w:proofErr w:type="spellEnd"/>
      <w:r w:rsidR="008B1F61" w:rsidRPr="00E65A3F">
        <w:rPr>
          <w:sz w:val="24"/>
          <w:szCs w:val="24"/>
        </w:rPr>
        <w:t xml:space="preserve">, </w:t>
      </w:r>
      <w:proofErr w:type="spellStart"/>
      <w:r w:rsidR="008B1F61" w:rsidRPr="00E65A3F">
        <w:rPr>
          <w:sz w:val="24"/>
          <w:szCs w:val="24"/>
        </w:rPr>
        <w:t>sulfonilure</w:t>
      </w:r>
      <w:r w:rsidR="000F3B7B" w:rsidRPr="00E65A3F">
        <w:rPr>
          <w:sz w:val="24"/>
          <w:szCs w:val="24"/>
        </w:rPr>
        <w:t>e</w:t>
      </w:r>
      <w:proofErr w:type="spellEnd"/>
      <w:r w:rsidR="008B1F61" w:rsidRPr="00E65A3F">
        <w:rPr>
          <w:sz w:val="24"/>
          <w:szCs w:val="24"/>
        </w:rPr>
        <w:t xml:space="preserve"> o </w:t>
      </w:r>
      <w:proofErr w:type="spellStart"/>
      <w:r w:rsidR="008B1F61" w:rsidRPr="00E65A3F">
        <w:rPr>
          <w:sz w:val="24"/>
          <w:szCs w:val="24"/>
        </w:rPr>
        <w:t>glitazoni</w:t>
      </w:r>
      <w:proofErr w:type="spellEnd"/>
      <w:r w:rsidR="008B1F61" w:rsidRPr="00E65A3F">
        <w:rPr>
          <w:sz w:val="24"/>
          <w:szCs w:val="24"/>
        </w:rPr>
        <w:t xml:space="preserve">) che abbassano lo zucchero nel sangue e che </w:t>
      </w:r>
      <w:r w:rsidR="001E591B" w:rsidRPr="00E65A3F">
        <w:rPr>
          <w:sz w:val="24"/>
          <w:szCs w:val="24"/>
        </w:rPr>
        <w:t>possono essere assunti</w:t>
      </w:r>
      <w:r w:rsidR="008B1F61" w:rsidRPr="00E65A3F">
        <w:rPr>
          <w:sz w:val="24"/>
          <w:szCs w:val="24"/>
        </w:rPr>
        <w:t xml:space="preserve"> per </w:t>
      </w:r>
      <w:r w:rsidR="001E591B" w:rsidRPr="00E65A3F">
        <w:rPr>
          <w:sz w:val="24"/>
          <w:szCs w:val="24"/>
        </w:rPr>
        <w:t xml:space="preserve">il </w:t>
      </w:r>
      <w:proofErr w:type="gramStart"/>
      <w:r w:rsidR="001E591B" w:rsidRPr="00E65A3F">
        <w:rPr>
          <w:sz w:val="24"/>
          <w:szCs w:val="24"/>
        </w:rPr>
        <w:t>trattamento  del</w:t>
      </w:r>
      <w:proofErr w:type="gramEnd"/>
      <w:r w:rsidR="008B1F61" w:rsidRPr="00E65A3F">
        <w:rPr>
          <w:sz w:val="24"/>
          <w:szCs w:val="24"/>
        </w:rPr>
        <w:t xml:space="preserve"> diabete</w:t>
      </w:r>
      <w:r w:rsidR="001E591B" w:rsidRPr="00E65A3F">
        <w:rPr>
          <w:sz w:val="24"/>
          <w:szCs w:val="24"/>
        </w:rPr>
        <w:t>,</w:t>
      </w:r>
      <w:r w:rsidR="008B1F61" w:rsidRPr="00E65A3F">
        <w:rPr>
          <w:sz w:val="24"/>
          <w:szCs w:val="24"/>
        </w:rPr>
        <w:t xml:space="preserve"> insieme ad un programma di dieta ed esercizio fisico.</w:t>
      </w:r>
    </w:p>
    <w:p w14:paraId="78ACF5AE" w14:textId="77777777" w:rsidR="008B1F61" w:rsidRPr="00E65A3F" w:rsidRDefault="008B1F61" w:rsidP="008B1F61">
      <w:pPr>
        <w:tabs>
          <w:tab w:val="left" w:pos="708"/>
        </w:tabs>
        <w:spacing w:line="240" w:lineRule="auto"/>
        <w:ind w:right="-2"/>
        <w:rPr>
          <w:sz w:val="24"/>
          <w:szCs w:val="24"/>
        </w:rPr>
      </w:pPr>
      <w:r w:rsidRPr="00E65A3F">
        <w:rPr>
          <w:sz w:val="24"/>
          <w:szCs w:val="24"/>
        </w:rPr>
        <w:t>Cos’è il diabete di tipo 2?</w:t>
      </w:r>
    </w:p>
    <w:p w14:paraId="4FDE7C45" w14:textId="28894147" w:rsidR="00BB2AF8" w:rsidRPr="00E65A3F" w:rsidRDefault="008B1F61" w:rsidP="008B1F61">
      <w:pPr>
        <w:tabs>
          <w:tab w:val="left" w:pos="708"/>
        </w:tabs>
        <w:spacing w:line="240" w:lineRule="auto"/>
        <w:ind w:right="-2"/>
        <w:rPr>
          <w:sz w:val="24"/>
          <w:szCs w:val="24"/>
        </w:rPr>
      </w:pPr>
      <w:r w:rsidRPr="00E65A3F">
        <w:rPr>
          <w:sz w:val="24"/>
          <w:szCs w:val="24"/>
        </w:rPr>
        <w:t xml:space="preserve">Il diabete di tipo 2 è una malattia in cui l’organismo non produce abbastanza insulina, e l’insulina prodotta dall’organismo non funziona bene come dovrebbe. L’organismo può anche produrre troppo zucchero. Quando questo accade, lo zucchero (glucosio) si accumula nel sangue. Questo può portare a </w:t>
      </w:r>
      <w:r w:rsidR="000F3B7B" w:rsidRPr="00E65A3F">
        <w:rPr>
          <w:sz w:val="24"/>
          <w:szCs w:val="24"/>
        </w:rPr>
        <w:t xml:space="preserve">gravi </w:t>
      </w:r>
      <w:r w:rsidRPr="00E65A3F">
        <w:rPr>
          <w:sz w:val="24"/>
          <w:szCs w:val="24"/>
        </w:rPr>
        <w:t xml:space="preserve">problemi </w:t>
      </w:r>
      <w:r w:rsidR="000F3B7B" w:rsidRPr="00E65A3F">
        <w:rPr>
          <w:sz w:val="24"/>
          <w:szCs w:val="24"/>
        </w:rPr>
        <w:t xml:space="preserve">di salute </w:t>
      </w:r>
      <w:r w:rsidRPr="00E65A3F">
        <w:rPr>
          <w:sz w:val="24"/>
          <w:szCs w:val="24"/>
        </w:rPr>
        <w:t>come malattie del cuore, malattie del rene, cecità e amputazioni.</w:t>
      </w:r>
    </w:p>
    <w:p w14:paraId="25523EEE" w14:textId="2999E8D5" w:rsidR="00BB2AF8" w:rsidRPr="002E3616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E3616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E’ PRESCRITTO/USATO </w:t>
      </w:r>
      <w:r w:rsidR="0067181B" w:rsidRPr="002E3616">
        <w:rPr>
          <w:rFonts w:eastAsia="Calibri" w:cstheme="minorHAnsi"/>
          <w:b/>
          <w:color w:val="000000"/>
          <w:sz w:val="24"/>
          <w:szCs w:val="24"/>
          <w:lang w:eastAsia="it-IT"/>
        </w:rPr>
        <w:t>SITAGLIPTIN ABDI</w:t>
      </w:r>
      <w:r w:rsidRPr="002E3616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A6DA150" w14:textId="0FDD7C2E" w:rsidR="001C15DF" w:rsidRPr="002E3616" w:rsidRDefault="0067181B" w:rsidP="002441E2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2E3616">
        <w:rPr>
          <w:rFonts w:asciiTheme="minorHAnsi" w:eastAsia="Calibri" w:hAnsiTheme="minorHAnsi" w:cstheme="minorHAnsi"/>
          <w:color w:val="000000"/>
          <w:sz w:val="24"/>
          <w:szCs w:val="24"/>
        </w:rPr>
        <w:t>SITAGLIPTIN ABDI</w:t>
      </w:r>
      <w:r w:rsidR="00300BEA" w:rsidRPr="002E3616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BB2AF8" w:rsidRPr="002E3616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può essere ottenuto </w:t>
      </w:r>
      <w:r w:rsidR="00300BEA" w:rsidRPr="002E3616">
        <w:rPr>
          <w:rFonts w:asciiTheme="minorHAnsi" w:eastAsia="Calibri" w:hAnsiTheme="minorHAnsi" w:cstheme="minorHAnsi"/>
          <w:color w:val="000000"/>
          <w:sz w:val="24"/>
          <w:szCs w:val="24"/>
        </w:rPr>
        <w:t>solo su prescrizione da parte del medico (ricetta ripetibile</w:t>
      </w:r>
      <w:r w:rsidR="002441E2" w:rsidRPr="002E3616">
        <w:rPr>
          <w:rFonts w:asciiTheme="minorHAnsi" w:eastAsia="Calibri" w:hAnsiTheme="minorHAnsi" w:cstheme="minorHAnsi"/>
          <w:color w:val="000000"/>
          <w:sz w:val="24"/>
          <w:szCs w:val="24"/>
        </w:rPr>
        <w:t>).</w:t>
      </w:r>
    </w:p>
    <w:p w14:paraId="3EF1A709" w14:textId="77777777" w:rsidR="002441E2" w:rsidRPr="002E3616" w:rsidRDefault="002441E2" w:rsidP="002441E2">
      <w:pPr>
        <w:pStyle w:val="PreformattatoHTML"/>
        <w:jc w:val="both"/>
        <w:rPr>
          <w:rFonts w:cstheme="minorHAnsi"/>
          <w:sz w:val="24"/>
          <w:szCs w:val="24"/>
        </w:rPr>
      </w:pPr>
    </w:p>
    <w:p w14:paraId="32BB6D26" w14:textId="12E19052" w:rsidR="00BB2AF8" w:rsidRPr="002E3616" w:rsidRDefault="00BB2AF8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2E3616">
        <w:rPr>
          <w:rFonts w:cstheme="minorHAnsi"/>
          <w:sz w:val="24"/>
          <w:szCs w:val="24"/>
        </w:rPr>
        <w:t xml:space="preserve">La dose raccomandata </w:t>
      </w:r>
      <w:r w:rsidR="00EF6711" w:rsidRPr="002E3616">
        <w:rPr>
          <w:rFonts w:cstheme="minorHAnsi"/>
          <w:sz w:val="24"/>
          <w:szCs w:val="24"/>
        </w:rPr>
        <w:t>giornaliera</w:t>
      </w:r>
      <w:r w:rsidRPr="002E3616">
        <w:rPr>
          <w:rFonts w:cstheme="minorHAnsi"/>
          <w:sz w:val="24"/>
          <w:szCs w:val="24"/>
        </w:rPr>
        <w:t xml:space="preserve"> </w:t>
      </w:r>
      <w:r w:rsidR="001C15DF" w:rsidRPr="002E3616">
        <w:rPr>
          <w:rFonts w:cstheme="minorHAnsi"/>
          <w:sz w:val="24"/>
          <w:szCs w:val="24"/>
        </w:rPr>
        <w:t xml:space="preserve">negli adulti </w:t>
      </w:r>
      <w:r w:rsidRPr="002E3616">
        <w:rPr>
          <w:rFonts w:cstheme="minorHAnsi"/>
          <w:sz w:val="24"/>
          <w:szCs w:val="24"/>
        </w:rPr>
        <w:t xml:space="preserve">è di </w:t>
      </w:r>
      <w:r w:rsidR="00390D92" w:rsidRPr="002E3616">
        <w:rPr>
          <w:rFonts w:cstheme="minorHAnsi"/>
          <w:sz w:val="24"/>
          <w:szCs w:val="24"/>
        </w:rPr>
        <w:t>100</w:t>
      </w:r>
      <w:r w:rsidR="00300BEA" w:rsidRPr="002E3616">
        <w:rPr>
          <w:rFonts w:cstheme="minorHAnsi"/>
          <w:sz w:val="24"/>
          <w:szCs w:val="24"/>
        </w:rPr>
        <w:t xml:space="preserve"> mg</w:t>
      </w:r>
      <w:r w:rsidR="00390D92" w:rsidRPr="002E3616">
        <w:rPr>
          <w:rFonts w:cstheme="minorHAnsi"/>
          <w:sz w:val="24"/>
          <w:szCs w:val="24"/>
        </w:rPr>
        <w:t xml:space="preserve"> una volta al giorno</w:t>
      </w:r>
      <w:r w:rsidR="000F3B7B">
        <w:rPr>
          <w:rFonts w:cstheme="minorHAnsi"/>
          <w:sz w:val="24"/>
          <w:szCs w:val="24"/>
        </w:rPr>
        <w:t>, assunta per via orale</w:t>
      </w:r>
      <w:r w:rsidR="00390D92" w:rsidRPr="002E3616">
        <w:rPr>
          <w:rFonts w:cstheme="minorHAnsi"/>
          <w:sz w:val="24"/>
          <w:szCs w:val="24"/>
        </w:rPr>
        <w:t>.</w:t>
      </w:r>
    </w:p>
    <w:p w14:paraId="03A7A0C0" w14:textId="3499FEE9" w:rsidR="00194300" w:rsidRPr="002E3616" w:rsidRDefault="00194300" w:rsidP="001943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E3616">
        <w:rPr>
          <w:rFonts w:cstheme="minorHAnsi"/>
          <w:sz w:val="24"/>
          <w:szCs w:val="24"/>
        </w:rPr>
        <w:t>La quantità di medicinale da utilizzare è stabilita dal medico in relazione allo stato del paziente.</w:t>
      </w:r>
    </w:p>
    <w:p w14:paraId="292C9F8E" w14:textId="77777777" w:rsidR="00390D92" w:rsidRPr="002E3616" w:rsidRDefault="00390D92" w:rsidP="00BB2AF8">
      <w:pPr>
        <w:tabs>
          <w:tab w:val="left" w:pos="0"/>
        </w:tabs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6F0DA7BD" w14:textId="324D728C" w:rsidR="00BB2AF8" w:rsidRPr="002E3616" w:rsidRDefault="00BB2AF8" w:rsidP="00BB2AF8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2E3616">
        <w:rPr>
          <w:rFonts w:cstheme="minorHAnsi"/>
          <w:sz w:val="24"/>
          <w:szCs w:val="24"/>
        </w:rPr>
        <w:t>Nei pazient</w:t>
      </w:r>
      <w:r w:rsidR="00390D92" w:rsidRPr="002E3616">
        <w:rPr>
          <w:rFonts w:cstheme="minorHAnsi"/>
          <w:sz w:val="24"/>
          <w:szCs w:val="24"/>
        </w:rPr>
        <w:t xml:space="preserve">i </w:t>
      </w:r>
      <w:r w:rsidRPr="002E3616">
        <w:rPr>
          <w:rFonts w:cstheme="minorHAnsi"/>
          <w:sz w:val="24"/>
          <w:szCs w:val="24"/>
        </w:rPr>
        <w:t>con problemi</w:t>
      </w:r>
      <w:r w:rsidR="00390D92" w:rsidRPr="002E3616">
        <w:rPr>
          <w:rFonts w:cstheme="minorHAnsi"/>
          <w:sz w:val="24"/>
          <w:szCs w:val="24"/>
        </w:rPr>
        <w:t xml:space="preserve"> </w:t>
      </w:r>
      <w:r w:rsidRPr="002E3616">
        <w:rPr>
          <w:rFonts w:cstheme="minorHAnsi"/>
          <w:sz w:val="24"/>
          <w:szCs w:val="24"/>
        </w:rPr>
        <w:t>al rene</w:t>
      </w:r>
      <w:r w:rsidR="001C15DF" w:rsidRPr="002E3616">
        <w:rPr>
          <w:rFonts w:cstheme="minorHAnsi"/>
          <w:sz w:val="24"/>
          <w:szCs w:val="24"/>
        </w:rPr>
        <w:t xml:space="preserve">, </w:t>
      </w:r>
      <w:r w:rsidRPr="002E3616">
        <w:rPr>
          <w:rFonts w:cstheme="minorHAnsi"/>
          <w:sz w:val="24"/>
          <w:szCs w:val="24"/>
        </w:rPr>
        <w:t>il dosaggio può essere più basso</w:t>
      </w:r>
      <w:r w:rsidR="00390D92" w:rsidRPr="002E3616">
        <w:rPr>
          <w:rFonts w:cstheme="minorHAnsi"/>
          <w:sz w:val="24"/>
          <w:szCs w:val="24"/>
        </w:rPr>
        <w:t xml:space="preserve"> (25 mg, 50 mg)</w:t>
      </w:r>
      <w:r w:rsidRPr="002E3616">
        <w:rPr>
          <w:rFonts w:cstheme="minorHAnsi"/>
          <w:sz w:val="24"/>
          <w:szCs w:val="24"/>
        </w:rPr>
        <w:t>.</w:t>
      </w:r>
    </w:p>
    <w:p w14:paraId="32CBAE44" w14:textId="77777777" w:rsidR="00390D92" w:rsidRPr="002E3616" w:rsidRDefault="00390D92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2ABF8D8" w14:textId="2140A38B" w:rsidR="001C15DF" w:rsidRPr="002E3616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E3616">
        <w:rPr>
          <w:rFonts w:cstheme="minorHAnsi"/>
          <w:sz w:val="24"/>
          <w:szCs w:val="24"/>
        </w:rPr>
        <w:t>Q</w:t>
      </w:r>
      <w:r w:rsidR="001C15DF" w:rsidRPr="002E3616">
        <w:rPr>
          <w:rFonts w:cstheme="minorHAnsi"/>
          <w:sz w:val="24"/>
          <w:szCs w:val="24"/>
        </w:rPr>
        <w:t xml:space="preserve">uesto medicinale non deve essere utilizzato nei </w:t>
      </w:r>
      <w:r w:rsidR="00390D92" w:rsidRPr="002E3616">
        <w:rPr>
          <w:rFonts w:cstheme="minorHAnsi"/>
          <w:sz w:val="24"/>
          <w:szCs w:val="24"/>
        </w:rPr>
        <w:t>bambini e negli adolescenti di età inferiore a 18 anni.</w:t>
      </w:r>
    </w:p>
    <w:p w14:paraId="17B75B17" w14:textId="32FB2F29" w:rsidR="008A6FEC" w:rsidRPr="002E3616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7369FD84" w14:textId="12D4FA61" w:rsidR="00BB2AF8" w:rsidRPr="002E3616" w:rsidRDefault="001C15DF" w:rsidP="006671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2E3616">
        <w:rPr>
          <w:rFonts w:cstheme="minorHAnsi"/>
          <w:sz w:val="24"/>
          <w:szCs w:val="24"/>
        </w:rPr>
        <w:t>Le compresse devono essere assunte intere (non frantumate o masticate) con un po’ d’acqua, indipendentemente dai pasti</w:t>
      </w:r>
      <w:r w:rsidR="008A6FEC" w:rsidRPr="002E3616">
        <w:rPr>
          <w:rFonts w:cstheme="minorHAnsi"/>
          <w:sz w:val="24"/>
          <w:szCs w:val="24"/>
        </w:rPr>
        <w:t xml:space="preserve">. </w:t>
      </w:r>
    </w:p>
    <w:p w14:paraId="442FB4FA" w14:textId="77777777" w:rsidR="00BB2AF8" w:rsidRPr="002E36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2D9D7674" w:rsidR="00BB2AF8" w:rsidRPr="005A37E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5A37E4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67181B" w:rsidRPr="005A37E4">
        <w:rPr>
          <w:rFonts w:eastAsia="Calibri" w:cstheme="minorHAnsi"/>
          <w:b/>
          <w:color w:val="000000"/>
          <w:sz w:val="24"/>
          <w:szCs w:val="24"/>
          <w:lang w:eastAsia="it-IT"/>
        </w:rPr>
        <w:t>SITAGLIPTIN ABDI</w:t>
      </w:r>
      <w:r w:rsidRPr="005A37E4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641C26E8" w14:textId="350E31C9" w:rsidR="002A3CA7" w:rsidRPr="002E3616" w:rsidRDefault="0067181B" w:rsidP="002A3CA7">
      <w:pPr>
        <w:rPr>
          <w:rFonts w:cstheme="minorHAnsi"/>
          <w:sz w:val="24"/>
          <w:szCs w:val="24"/>
        </w:rPr>
      </w:pPr>
      <w:r w:rsidRPr="00E65A3F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BB2AF8" w:rsidRPr="00E65A3F">
        <w:rPr>
          <w:rFonts w:eastAsia="Calibri" w:cstheme="minorHAnsi"/>
          <w:bCs/>
          <w:color w:val="000000"/>
          <w:sz w:val="24"/>
          <w:szCs w:val="24"/>
          <w:lang w:eastAsia="it-IT"/>
        </w:rPr>
        <w:t>, il cui codice ATC è</w:t>
      </w:r>
      <w:r w:rsidR="00A320ED" w:rsidRPr="00E65A3F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A10BH01.</w:t>
      </w:r>
      <w:r w:rsidR="00BB2AF8" w:rsidRPr="00E65A3F">
        <w:rPr>
          <w:rFonts w:eastAsia="DejaVuSans" w:cstheme="minorHAnsi"/>
          <w:sz w:val="24"/>
          <w:szCs w:val="24"/>
        </w:rPr>
        <w:t xml:space="preserve"> </w:t>
      </w:r>
      <w:r w:rsidR="00BB2AF8" w:rsidRPr="00E65A3F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il principio attivo </w:t>
      </w:r>
      <w:proofErr w:type="spellStart"/>
      <w:r w:rsidR="00A320ED" w:rsidRPr="00E65A3F">
        <w:rPr>
          <w:rFonts w:eastAsia="Calibri" w:cstheme="minorHAnsi"/>
          <w:color w:val="000000"/>
          <w:sz w:val="24"/>
          <w:szCs w:val="24"/>
          <w:lang w:eastAsia="it-IT"/>
        </w:rPr>
        <w:t>sitagliptin</w:t>
      </w:r>
      <w:proofErr w:type="spellEnd"/>
      <w:r w:rsidR="00A320ED" w:rsidRPr="00E65A3F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E65A3F">
        <w:rPr>
          <w:rFonts w:eastAsia="DejaVuSans" w:cstheme="minorHAnsi"/>
          <w:sz w:val="24"/>
          <w:szCs w:val="24"/>
        </w:rPr>
        <w:t xml:space="preserve">che </w:t>
      </w:r>
      <w:r w:rsidR="00BB2AF8" w:rsidRPr="00E65A3F">
        <w:rPr>
          <w:rFonts w:cstheme="minorHAnsi"/>
          <w:sz w:val="24"/>
          <w:szCs w:val="24"/>
        </w:rPr>
        <w:t xml:space="preserve">appartiene alla classe </w:t>
      </w:r>
      <w:r w:rsidR="00A320ED" w:rsidRPr="00E65A3F">
        <w:rPr>
          <w:rFonts w:cstheme="minorHAnsi"/>
          <w:sz w:val="24"/>
          <w:szCs w:val="24"/>
        </w:rPr>
        <w:t xml:space="preserve">dei medicinali chiamati </w:t>
      </w:r>
      <w:proofErr w:type="spellStart"/>
      <w:r w:rsidR="002A3CA7" w:rsidRPr="00E65A3F">
        <w:rPr>
          <w:rFonts w:cstheme="minorHAnsi"/>
          <w:sz w:val="24"/>
          <w:szCs w:val="24"/>
        </w:rPr>
        <w:t>antiiperglicemici</w:t>
      </w:r>
      <w:proofErr w:type="spellEnd"/>
      <w:r w:rsidR="002A3CA7" w:rsidRPr="00E65A3F">
        <w:rPr>
          <w:rFonts w:cstheme="minorHAnsi"/>
          <w:sz w:val="24"/>
          <w:szCs w:val="24"/>
        </w:rPr>
        <w:t xml:space="preserve"> </w:t>
      </w:r>
      <w:r w:rsidR="00A320ED" w:rsidRPr="00E65A3F">
        <w:rPr>
          <w:rFonts w:cstheme="minorHAnsi"/>
          <w:sz w:val="24"/>
          <w:szCs w:val="24"/>
        </w:rPr>
        <w:t>che abbassano i livelli dello zucchero nel sangue nei pazienti adulti con diabete mellito di tipo 2</w:t>
      </w:r>
      <w:r w:rsidR="002A3CA7" w:rsidRPr="00E65A3F">
        <w:rPr>
          <w:rFonts w:cstheme="minorHAnsi"/>
          <w:sz w:val="24"/>
          <w:szCs w:val="24"/>
        </w:rPr>
        <w:t xml:space="preserve"> </w:t>
      </w:r>
      <w:r w:rsidR="00BB2AF8" w:rsidRPr="00E65A3F">
        <w:rPr>
          <w:rFonts w:cstheme="minorHAnsi"/>
          <w:sz w:val="24"/>
          <w:szCs w:val="24"/>
        </w:rPr>
        <w:t>e agisce</w:t>
      </w:r>
      <w:r w:rsidR="002A3CA7" w:rsidRPr="00E65A3F">
        <w:rPr>
          <w:rFonts w:cstheme="minorHAnsi"/>
          <w:sz w:val="24"/>
          <w:szCs w:val="24"/>
        </w:rPr>
        <w:t xml:space="preserve"> inibendo la </w:t>
      </w:r>
      <w:proofErr w:type="spellStart"/>
      <w:r w:rsidR="002A3CA7" w:rsidRPr="00E65A3F">
        <w:rPr>
          <w:rFonts w:cstheme="minorHAnsi"/>
          <w:sz w:val="24"/>
          <w:szCs w:val="24"/>
        </w:rPr>
        <w:t>dipeptidil</w:t>
      </w:r>
      <w:proofErr w:type="spellEnd"/>
      <w:r w:rsidR="002A3CA7" w:rsidRPr="00E65A3F">
        <w:rPr>
          <w:rFonts w:cstheme="minorHAnsi"/>
          <w:sz w:val="24"/>
          <w:szCs w:val="24"/>
        </w:rPr>
        <w:t xml:space="preserve"> peptidasi 4 (DPP-4). Il miglioramento del controllo glicemico osservato con questo medicinale può essere mediato dall’aumento dei livelli di </w:t>
      </w:r>
      <w:proofErr w:type="spellStart"/>
      <w:r w:rsidR="002A3CA7" w:rsidRPr="00E65A3F">
        <w:rPr>
          <w:rFonts w:cstheme="minorHAnsi"/>
          <w:sz w:val="24"/>
          <w:szCs w:val="24"/>
        </w:rPr>
        <w:t>incretine</w:t>
      </w:r>
      <w:proofErr w:type="spellEnd"/>
      <w:r w:rsidR="002A3CA7" w:rsidRPr="00E65A3F">
        <w:rPr>
          <w:rFonts w:cstheme="minorHAnsi"/>
          <w:sz w:val="24"/>
          <w:szCs w:val="24"/>
        </w:rPr>
        <w:t xml:space="preserve"> attive.</w:t>
      </w:r>
    </w:p>
    <w:p w14:paraId="270D7D95" w14:textId="0AE419D9" w:rsidR="00BB2AF8" w:rsidRPr="002E36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4B9774CD" w14:textId="42310A18" w:rsidR="00BB2AF8" w:rsidRPr="002E36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2E3616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67181B" w:rsidRPr="002E3616">
        <w:rPr>
          <w:rFonts w:eastAsia="Calibri" w:cstheme="minorHAnsi"/>
          <w:b/>
          <w:color w:val="000000"/>
          <w:sz w:val="24"/>
          <w:szCs w:val="24"/>
          <w:lang w:eastAsia="it-IT"/>
        </w:rPr>
        <w:t>SITAGLIPTIN ABDI</w:t>
      </w:r>
      <w:r w:rsidRPr="002E3616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2154B6E8" w14:textId="337C131D" w:rsidR="00F96473" w:rsidRPr="002E3616" w:rsidRDefault="0067181B" w:rsidP="00F9647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3616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F96473" w:rsidRPr="002E3616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96473" w:rsidRPr="002E3616">
        <w:rPr>
          <w:rFonts w:cstheme="minorHAnsi"/>
          <w:sz w:val="24"/>
          <w:szCs w:val="24"/>
        </w:rPr>
        <w:t>è un medicinale generico</w:t>
      </w:r>
      <w:r w:rsidR="003C054E" w:rsidRPr="002E3616">
        <w:rPr>
          <w:rFonts w:cstheme="minorHAnsi"/>
          <w:sz w:val="24"/>
          <w:szCs w:val="24"/>
        </w:rPr>
        <w:t xml:space="preserve">. </w:t>
      </w:r>
      <w:r w:rsidR="00C56FA9" w:rsidRPr="002E3616">
        <w:rPr>
          <w:rFonts w:cstheme="minorHAnsi"/>
          <w:sz w:val="24"/>
          <w:szCs w:val="24"/>
        </w:rPr>
        <w:t xml:space="preserve">Poiché il profilo di sicurezza e l’efficacia del principio attivo di </w:t>
      </w:r>
      <w:r w:rsidRPr="002E3616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C56FA9" w:rsidRPr="002E3616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56FA9" w:rsidRPr="002E3616">
        <w:rPr>
          <w:rFonts w:cstheme="minorHAnsi"/>
          <w:sz w:val="24"/>
          <w:szCs w:val="24"/>
        </w:rPr>
        <w:t>è ben conosciuto</w:t>
      </w:r>
      <w:r w:rsidR="000F3B7B">
        <w:rPr>
          <w:rFonts w:cstheme="minorHAnsi"/>
          <w:sz w:val="24"/>
          <w:szCs w:val="24"/>
        </w:rPr>
        <w:t>,</w:t>
      </w:r>
      <w:r w:rsidR="00C56FA9" w:rsidRPr="002E3616">
        <w:rPr>
          <w:rFonts w:cstheme="minorHAnsi"/>
          <w:sz w:val="24"/>
          <w:szCs w:val="24"/>
        </w:rPr>
        <w:t xml:space="preserve"> in quanto il medicinale di riferimento è autorizzato da </w:t>
      </w:r>
      <w:r w:rsidR="00FB4181" w:rsidRPr="002E3616">
        <w:rPr>
          <w:rFonts w:cstheme="minorHAnsi"/>
          <w:sz w:val="24"/>
          <w:szCs w:val="24"/>
        </w:rPr>
        <w:t xml:space="preserve">almeno 8 </w:t>
      </w:r>
      <w:r w:rsidR="00C56FA9" w:rsidRPr="002E3616">
        <w:rPr>
          <w:rFonts w:cstheme="minorHAnsi"/>
          <w:sz w:val="24"/>
          <w:szCs w:val="24"/>
        </w:rPr>
        <w:t>anni</w:t>
      </w:r>
      <w:r w:rsidR="00F67DFC" w:rsidRPr="002E3616">
        <w:rPr>
          <w:rFonts w:cstheme="minorHAnsi"/>
          <w:sz w:val="24"/>
          <w:szCs w:val="24"/>
        </w:rPr>
        <w:t xml:space="preserve"> nell’Unione europea</w:t>
      </w:r>
      <w:r w:rsidR="000F3B7B">
        <w:rPr>
          <w:rFonts w:cstheme="minorHAnsi"/>
          <w:sz w:val="24"/>
          <w:szCs w:val="24"/>
        </w:rPr>
        <w:t>.</w:t>
      </w:r>
      <w:r w:rsidR="00C56FA9" w:rsidRPr="002E3616">
        <w:rPr>
          <w:rFonts w:cstheme="minorHAnsi"/>
          <w:sz w:val="24"/>
          <w:szCs w:val="24"/>
        </w:rPr>
        <w:t xml:space="preserve"> </w:t>
      </w:r>
      <w:r w:rsidR="000F3B7B">
        <w:rPr>
          <w:rFonts w:cstheme="minorHAnsi"/>
          <w:sz w:val="24"/>
          <w:szCs w:val="24"/>
        </w:rPr>
        <w:t>A</w:t>
      </w:r>
      <w:r w:rsidR="00577DAC" w:rsidRPr="002E3616">
        <w:rPr>
          <w:rFonts w:cstheme="minorHAnsi"/>
          <w:sz w:val="24"/>
          <w:szCs w:val="24"/>
        </w:rPr>
        <w:t xml:space="preserve"> supporto dell’efficacia e della sicurezza di </w:t>
      </w:r>
      <w:r w:rsidRPr="002E3616">
        <w:rPr>
          <w:rFonts w:eastAsia="Calibri" w:cstheme="minorHAnsi"/>
          <w:color w:val="000000"/>
          <w:sz w:val="24"/>
          <w:szCs w:val="24"/>
          <w:lang w:eastAsia="it-IT"/>
        </w:rPr>
        <w:t xml:space="preserve">SITAGLIPTIN </w:t>
      </w:r>
      <w:proofErr w:type="gramStart"/>
      <w:r w:rsidRPr="002E3616">
        <w:rPr>
          <w:rFonts w:eastAsia="Calibri" w:cstheme="minorHAnsi"/>
          <w:color w:val="000000"/>
          <w:sz w:val="24"/>
          <w:szCs w:val="24"/>
          <w:lang w:eastAsia="it-IT"/>
        </w:rPr>
        <w:t>ABDI</w:t>
      </w:r>
      <w:r w:rsidR="00577DAC" w:rsidRPr="002E3616">
        <w:rPr>
          <w:rFonts w:eastAsia="Calibri" w:cstheme="minorHAnsi"/>
          <w:color w:val="000000"/>
          <w:sz w:val="24"/>
          <w:szCs w:val="24"/>
          <w:lang w:eastAsia="it-IT"/>
        </w:rPr>
        <w:t xml:space="preserve">  </w:t>
      </w:r>
      <w:r w:rsidR="004E28E5" w:rsidRPr="002E3616">
        <w:rPr>
          <w:rFonts w:cstheme="minorHAnsi"/>
          <w:sz w:val="24"/>
          <w:szCs w:val="24"/>
        </w:rPr>
        <w:t>sono</w:t>
      </w:r>
      <w:proofErr w:type="gramEnd"/>
      <w:r w:rsidR="004E28E5" w:rsidRPr="002E3616">
        <w:rPr>
          <w:rFonts w:cstheme="minorHAnsi"/>
          <w:sz w:val="24"/>
          <w:szCs w:val="24"/>
        </w:rPr>
        <w:t xml:space="preserve"> state effettuate prove cliniche</w:t>
      </w:r>
      <w:r w:rsidR="00F96473" w:rsidRPr="002E3616">
        <w:rPr>
          <w:rFonts w:cstheme="minorHAnsi"/>
          <w:sz w:val="24"/>
          <w:szCs w:val="24"/>
        </w:rPr>
        <w:t xml:space="preserve"> </w:t>
      </w:r>
      <w:r w:rsidR="003C054E" w:rsidRPr="002E3616">
        <w:rPr>
          <w:rFonts w:cstheme="minorHAnsi"/>
          <w:sz w:val="24"/>
          <w:szCs w:val="24"/>
        </w:rPr>
        <w:t xml:space="preserve">di confronto con il medicinale di riferimento </w:t>
      </w:r>
      <w:proofErr w:type="spellStart"/>
      <w:r w:rsidR="000F3B7B" w:rsidRPr="002E3616">
        <w:rPr>
          <w:rFonts w:cstheme="minorHAnsi"/>
          <w:sz w:val="24"/>
          <w:szCs w:val="24"/>
        </w:rPr>
        <w:t>Januvia</w:t>
      </w:r>
      <w:proofErr w:type="spellEnd"/>
      <w:r w:rsidR="000F3B7B" w:rsidRPr="002E3616">
        <w:rPr>
          <w:rFonts w:cstheme="minorHAnsi"/>
          <w:sz w:val="24"/>
          <w:szCs w:val="24"/>
        </w:rPr>
        <w:t xml:space="preserve"> </w:t>
      </w:r>
      <w:r w:rsidR="00F96473" w:rsidRPr="002E3616">
        <w:rPr>
          <w:rFonts w:cstheme="minorHAnsi"/>
          <w:sz w:val="24"/>
          <w:szCs w:val="24"/>
        </w:rPr>
        <w:t>per determinar</w:t>
      </w:r>
      <w:r w:rsidR="000F3B7B">
        <w:rPr>
          <w:rFonts w:cstheme="minorHAnsi"/>
          <w:sz w:val="24"/>
          <w:szCs w:val="24"/>
        </w:rPr>
        <w:t>n</w:t>
      </w:r>
      <w:r w:rsidR="00F96473" w:rsidRPr="002E3616">
        <w:rPr>
          <w:rFonts w:cstheme="minorHAnsi"/>
          <w:sz w:val="24"/>
          <w:szCs w:val="24"/>
        </w:rPr>
        <w:t>e</w:t>
      </w:r>
      <w:r w:rsidR="00F96473" w:rsidRPr="002E3616">
        <w:rPr>
          <w:rFonts w:cstheme="minorHAnsi"/>
          <w:b/>
          <w:sz w:val="24"/>
          <w:szCs w:val="24"/>
        </w:rPr>
        <w:t xml:space="preserve"> </w:t>
      </w:r>
      <w:r w:rsidR="00F96473" w:rsidRPr="002E3616">
        <w:rPr>
          <w:rFonts w:cstheme="minorHAnsi"/>
          <w:sz w:val="24"/>
          <w:szCs w:val="24"/>
        </w:rPr>
        <w:t xml:space="preserve">la </w:t>
      </w:r>
      <w:proofErr w:type="spellStart"/>
      <w:r w:rsidR="00F96473" w:rsidRPr="002E3616">
        <w:rPr>
          <w:rFonts w:cstheme="minorHAnsi"/>
          <w:sz w:val="24"/>
          <w:szCs w:val="24"/>
        </w:rPr>
        <w:t>bioequivalenza</w:t>
      </w:r>
      <w:proofErr w:type="spellEnd"/>
      <w:r w:rsidR="000F3B7B">
        <w:rPr>
          <w:rFonts w:cstheme="minorHAnsi"/>
          <w:sz w:val="24"/>
          <w:szCs w:val="24"/>
        </w:rPr>
        <w:t>.</w:t>
      </w:r>
      <w:r w:rsidR="00F96473" w:rsidRPr="002E3616">
        <w:rPr>
          <w:rFonts w:cstheme="minorHAnsi"/>
          <w:sz w:val="24"/>
          <w:szCs w:val="24"/>
        </w:rPr>
        <w:t xml:space="preserve"> Due medicinali sono </w:t>
      </w:r>
      <w:proofErr w:type="spellStart"/>
      <w:r w:rsidR="00F96473" w:rsidRPr="002E3616">
        <w:rPr>
          <w:rFonts w:cstheme="minorHAnsi"/>
          <w:sz w:val="24"/>
          <w:szCs w:val="24"/>
        </w:rPr>
        <w:t>bioequivalenti</w:t>
      </w:r>
      <w:proofErr w:type="spellEnd"/>
      <w:r w:rsidR="00F96473" w:rsidRPr="002E3616">
        <w:rPr>
          <w:rFonts w:cstheme="minorHAnsi"/>
          <w:sz w:val="24"/>
          <w:szCs w:val="24"/>
        </w:rPr>
        <w:t xml:space="preserve"> quando producono gli stessi livelli di principio attivo nell’organismo. </w:t>
      </w:r>
    </w:p>
    <w:p w14:paraId="49F9AB56" w14:textId="77777777" w:rsidR="008C75F9" w:rsidRPr="002E3616" w:rsidRDefault="008C75F9" w:rsidP="00F9647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220E016" w14:textId="3891CBFA" w:rsidR="00D22C34" w:rsidRPr="002E3616" w:rsidRDefault="00AC31D4" w:rsidP="002A3CA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3616">
        <w:rPr>
          <w:rFonts w:cstheme="minorHAnsi"/>
          <w:sz w:val="24"/>
          <w:szCs w:val="24"/>
        </w:rPr>
        <w:t xml:space="preserve">Per i dosaggi da </w:t>
      </w:r>
      <w:r w:rsidR="002F10F8" w:rsidRPr="002E3616">
        <w:rPr>
          <w:rFonts w:cstheme="minorHAnsi"/>
          <w:sz w:val="24"/>
          <w:szCs w:val="24"/>
        </w:rPr>
        <w:t>25 mg e 50 mg</w:t>
      </w:r>
      <w:r w:rsidRPr="002E3616">
        <w:rPr>
          <w:rFonts w:cstheme="minorHAnsi"/>
          <w:sz w:val="24"/>
          <w:szCs w:val="24"/>
        </w:rPr>
        <w:t xml:space="preserve"> è stata dimostrata l’equivalenza farmaceutica tramite studi comparativi di equivalenza farmaceutica in accordo alle linee guida applicabili</w:t>
      </w:r>
      <w:r w:rsidR="00DA5F9B" w:rsidRPr="002E3616">
        <w:rPr>
          <w:rFonts w:cstheme="minorHAnsi"/>
          <w:sz w:val="24"/>
          <w:szCs w:val="24"/>
        </w:rPr>
        <w:t>.</w:t>
      </w:r>
    </w:p>
    <w:p w14:paraId="431359DA" w14:textId="1D7D5680" w:rsidR="006B311C" w:rsidRPr="002E3616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6C6C218C" w14:textId="77777777" w:rsidR="00FF50B2" w:rsidRPr="002E3616" w:rsidRDefault="00FF50B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57E70913" w:rsidR="00BB2AF8" w:rsidRPr="002E36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2E3616">
        <w:rPr>
          <w:rFonts w:eastAsia="Calibri" w:cstheme="minorHAnsi"/>
          <w:b/>
          <w:bCs/>
          <w:sz w:val="24"/>
          <w:szCs w:val="24"/>
          <w:lang w:eastAsia="it-IT"/>
        </w:rPr>
        <w:lastRenderedPageBreak/>
        <w:t xml:space="preserve">5) QUAL È IL RAPPORTO BENEFICIO/RISCHIO DI </w:t>
      </w:r>
      <w:r w:rsidR="0067181B" w:rsidRPr="002E3616">
        <w:rPr>
          <w:rFonts w:eastAsia="Calibri" w:cstheme="minorHAnsi"/>
          <w:b/>
          <w:color w:val="000000"/>
          <w:sz w:val="24"/>
          <w:szCs w:val="24"/>
          <w:lang w:eastAsia="it-IT"/>
        </w:rPr>
        <w:t>SITAGLIPTIN ABDI</w:t>
      </w:r>
      <w:r w:rsidRPr="002E3616">
        <w:rPr>
          <w:rFonts w:eastAsia="Calibri" w:cstheme="minorHAnsi"/>
          <w:b/>
          <w:sz w:val="24"/>
          <w:szCs w:val="24"/>
          <w:lang w:eastAsia="it-IT"/>
        </w:rPr>
        <w:t>?</w:t>
      </w:r>
      <w:r w:rsidRPr="002E3616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61275757" w14:textId="14D7BD38" w:rsidR="00BB2AF8" w:rsidRPr="002E3616" w:rsidRDefault="0067181B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2E3616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7170D7" w:rsidRPr="002E3616">
        <w:rPr>
          <w:rFonts w:cstheme="minorHAnsi"/>
          <w:sz w:val="24"/>
          <w:szCs w:val="24"/>
        </w:rPr>
        <w:t xml:space="preserve"> </w:t>
      </w:r>
      <w:r w:rsidR="00BB2AF8" w:rsidRPr="002E3616">
        <w:rPr>
          <w:rFonts w:eastAsia="Calibri" w:cstheme="minorHAnsi"/>
          <w:sz w:val="24"/>
          <w:szCs w:val="24"/>
          <w:lang w:eastAsia="it-IT"/>
        </w:rPr>
        <w:t xml:space="preserve">è un medicinale generico ed è </w:t>
      </w:r>
      <w:proofErr w:type="spellStart"/>
      <w:r w:rsidR="00BB2AF8" w:rsidRPr="002E3616"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 w:rsidR="00BB2AF8" w:rsidRPr="002E3616"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14:paraId="0E4D84AF" w14:textId="77777777" w:rsidR="00BB2AF8" w:rsidRPr="002E36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2EBEF544" w:rsidR="00BB2AF8" w:rsidRPr="002E36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2E3616">
        <w:rPr>
          <w:rFonts w:eastAsia="Calibri" w:cstheme="minorHAnsi"/>
          <w:b/>
          <w:bCs/>
          <w:sz w:val="24"/>
          <w:szCs w:val="24"/>
          <w:lang w:eastAsia="it-IT"/>
        </w:rPr>
        <w:t xml:space="preserve">6) </w:t>
      </w:r>
      <w:r w:rsidR="00D349B9" w:rsidRPr="002E3616">
        <w:rPr>
          <w:rFonts w:eastAsia="Calibri" w:cstheme="minorHAnsi"/>
          <w:b/>
          <w:bCs/>
          <w:sz w:val="24"/>
          <w:szCs w:val="24"/>
          <w:lang w:eastAsia="it-IT"/>
        </w:rPr>
        <w:t>PERCH</w:t>
      </w:r>
      <w:r w:rsidR="00D349B9">
        <w:rPr>
          <w:rFonts w:eastAsia="Calibri" w:cstheme="minorHAnsi"/>
          <w:b/>
          <w:bCs/>
          <w:sz w:val="24"/>
          <w:szCs w:val="24"/>
          <w:lang w:eastAsia="it-IT"/>
        </w:rPr>
        <w:t>É</w:t>
      </w:r>
      <w:r w:rsidR="00D349B9" w:rsidRPr="002E3616">
        <w:rPr>
          <w:rFonts w:eastAsia="Calibri" w:cstheme="minorHAnsi"/>
          <w:b/>
          <w:bCs/>
          <w:sz w:val="24"/>
          <w:szCs w:val="24"/>
          <w:lang w:eastAsia="it-IT"/>
        </w:rPr>
        <w:t xml:space="preserve">’ </w:t>
      </w:r>
      <w:r w:rsidR="0067181B" w:rsidRPr="002E3616">
        <w:rPr>
          <w:rFonts w:eastAsia="Calibri" w:cstheme="minorHAnsi"/>
          <w:b/>
          <w:color w:val="000000"/>
          <w:sz w:val="24"/>
          <w:szCs w:val="24"/>
          <w:lang w:eastAsia="it-IT"/>
        </w:rPr>
        <w:t>SITAGLIPTIN ABDI</w:t>
      </w:r>
      <w:r w:rsidR="007170D7" w:rsidRPr="002E3616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="00FF50B2" w:rsidRPr="002E3616">
        <w:rPr>
          <w:rFonts w:eastAsia="Calibri" w:cstheme="minorHAnsi"/>
          <w:b/>
          <w:bCs/>
          <w:sz w:val="24"/>
          <w:szCs w:val="24"/>
          <w:lang w:eastAsia="it-IT"/>
        </w:rPr>
        <w:t>È</w:t>
      </w:r>
      <w:r w:rsidR="00FF50B2" w:rsidRPr="002E3616" w:rsidDel="00FF50B2">
        <w:rPr>
          <w:rFonts w:eastAsia="Calibri" w:cstheme="minorHAnsi"/>
          <w:b/>
          <w:bCs/>
          <w:sz w:val="24"/>
          <w:szCs w:val="24"/>
          <w:lang w:eastAsia="it-IT"/>
        </w:rPr>
        <w:t xml:space="preserve"> </w:t>
      </w:r>
      <w:r w:rsidRPr="002E3616">
        <w:rPr>
          <w:rFonts w:eastAsia="Calibri" w:cstheme="minorHAnsi"/>
          <w:b/>
          <w:bCs/>
          <w:sz w:val="24"/>
          <w:szCs w:val="24"/>
          <w:lang w:eastAsia="it-IT"/>
        </w:rPr>
        <w:t xml:space="preserve">STATO APPROVATO? </w:t>
      </w:r>
    </w:p>
    <w:p w14:paraId="563BF063" w14:textId="73D22F98" w:rsidR="004241AC" w:rsidRPr="002E3616" w:rsidRDefault="000C13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highlight w:val="green"/>
          <w:lang w:eastAsia="it-IT"/>
        </w:rPr>
      </w:pPr>
      <w:r w:rsidRPr="002E3616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 w:rsidRPr="002E3616">
        <w:rPr>
          <w:rFonts w:eastAsia="Calibri" w:cstheme="minorHAnsi"/>
          <w:sz w:val="24"/>
          <w:szCs w:val="24"/>
          <w:lang w:eastAsia="it-IT"/>
        </w:rPr>
        <w:t>a</w:t>
      </w:r>
      <w:r w:rsidRPr="002E3616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2E3616">
        <w:rPr>
          <w:rFonts w:eastAsia="Calibri" w:cstheme="minorHAnsi"/>
          <w:sz w:val="24"/>
          <w:szCs w:val="24"/>
          <w:lang w:eastAsia="it-IT"/>
        </w:rPr>
        <w:t xml:space="preserve">, conformemente ai requisiti della normativa vigente, come nel caso del medicinale di riferimento, i benefici di </w:t>
      </w:r>
      <w:r w:rsidR="0067181B" w:rsidRPr="002E3616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BB2AF8" w:rsidRPr="002E3616">
        <w:rPr>
          <w:rFonts w:eastAsia="Calibri" w:cstheme="minorHAnsi"/>
          <w:sz w:val="24"/>
          <w:szCs w:val="24"/>
          <w:lang w:eastAsia="it-IT"/>
        </w:rPr>
        <w:t xml:space="preserve"> sono superiori ai rischi individuati. L</w:t>
      </w:r>
      <w:r w:rsidR="00987584" w:rsidRPr="002E3616">
        <w:rPr>
          <w:rFonts w:eastAsia="Calibri" w:cstheme="minorHAnsi"/>
          <w:sz w:val="24"/>
          <w:szCs w:val="24"/>
          <w:lang w:eastAsia="it-IT"/>
        </w:rPr>
        <w:t>’</w:t>
      </w:r>
      <w:r w:rsidR="00F61CF9" w:rsidRPr="002E3616">
        <w:rPr>
          <w:rFonts w:eastAsia="Calibri" w:cstheme="minorHAnsi"/>
          <w:sz w:val="24"/>
          <w:szCs w:val="24"/>
          <w:lang w:eastAsia="it-IT"/>
        </w:rPr>
        <w:t>AIFA</w:t>
      </w:r>
      <w:r w:rsidR="00353838" w:rsidRPr="002E3616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2E3616">
        <w:rPr>
          <w:rFonts w:eastAsia="Calibri" w:cstheme="minorHAnsi"/>
          <w:sz w:val="24"/>
          <w:szCs w:val="24"/>
          <w:lang w:eastAsia="it-IT"/>
        </w:rPr>
        <w:t>ha, inoltre, definito le modalità di prescrizione di cui al punto 2) di questo Riassunto e la classe di rimborsabilità del medicinale</w:t>
      </w:r>
      <w:r w:rsidR="007170D7" w:rsidRPr="002E3616">
        <w:rPr>
          <w:rFonts w:eastAsia="Calibri" w:cstheme="minorHAnsi"/>
          <w:sz w:val="24"/>
          <w:szCs w:val="24"/>
          <w:lang w:eastAsia="it-IT"/>
        </w:rPr>
        <w:t xml:space="preserve"> </w:t>
      </w:r>
      <w:r w:rsidR="0098470E" w:rsidRPr="002E3616">
        <w:rPr>
          <w:rFonts w:eastAsia="Calibri" w:cstheme="minorHAnsi"/>
          <w:sz w:val="24"/>
          <w:szCs w:val="24"/>
          <w:lang w:eastAsia="it-IT"/>
        </w:rPr>
        <w:t xml:space="preserve">provvisoria </w:t>
      </w:r>
      <w:proofErr w:type="spellStart"/>
      <w:r w:rsidR="0098470E" w:rsidRPr="002E3616">
        <w:rPr>
          <w:rFonts w:eastAsia="Calibri" w:cstheme="minorHAnsi"/>
          <w:sz w:val="24"/>
          <w:szCs w:val="24"/>
          <w:lang w:eastAsia="it-IT"/>
        </w:rPr>
        <w:t>Cnn</w:t>
      </w:r>
      <w:proofErr w:type="spellEnd"/>
      <w:r w:rsidR="0098470E" w:rsidRPr="002E3616">
        <w:rPr>
          <w:rFonts w:eastAsia="Calibri" w:cstheme="minorHAnsi"/>
          <w:sz w:val="24"/>
          <w:szCs w:val="24"/>
          <w:lang w:eastAsia="it-IT"/>
        </w:rPr>
        <w:t xml:space="preserve">. </w:t>
      </w:r>
    </w:p>
    <w:p w14:paraId="6178C2D1" w14:textId="77777777" w:rsidR="00987584" w:rsidRPr="002E3616" w:rsidRDefault="0098758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7BA3A6D3" w:rsidR="004241AC" w:rsidRPr="002E36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2E3616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67181B" w:rsidRPr="002E3616">
        <w:rPr>
          <w:rFonts w:eastAsia="Calibri" w:cstheme="minorHAnsi"/>
          <w:b/>
          <w:color w:val="000000"/>
          <w:sz w:val="24"/>
          <w:szCs w:val="24"/>
          <w:lang w:eastAsia="it-IT"/>
        </w:rPr>
        <w:t>SITAGLIPTIN ABDI</w:t>
      </w:r>
      <w:r w:rsidRPr="002E3616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56FC953C" w:rsidR="004241AC" w:rsidRPr="002E3616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2E3616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2E3616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67181B" w:rsidRPr="002E3616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4241AC" w:rsidRPr="002E3616">
        <w:rPr>
          <w:rFonts w:eastAsia="Calibri" w:cstheme="minorHAnsi"/>
          <w:sz w:val="24"/>
          <w:szCs w:val="24"/>
          <w:lang w:eastAsia="it-IT"/>
        </w:rPr>
        <w:t>.</w:t>
      </w:r>
    </w:p>
    <w:p w14:paraId="3FBA7CE4" w14:textId="77777777" w:rsidR="00663BCD" w:rsidRPr="002E3616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67C8934C" w:rsidR="004241AC" w:rsidRPr="002E36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2E3616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67181B" w:rsidRPr="002E3616">
        <w:rPr>
          <w:rFonts w:eastAsia="Calibri" w:cstheme="minorHAnsi"/>
          <w:b/>
          <w:color w:val="000000"/>
          <w:sz w:val="24"/>
          <w:szCs w:val="24"/>
          <w:lang w:eastAsia="it-IT"/>
        </w:rPr>
        <w:t>SITAGLIPTIN ABDI</w:t>
      </w:r>
    </w:p>
    <w:p w14:paraId="317999E8" w14:textId="55B39744" w:rsidR="004241AC" w:rsidRPr="002E36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2E3616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C4294E" w:rsidRPr="00F24420">
        <w:rPr>
          <w:rFonts w:eastAsia="Calibri" w:cstheme="minorHAnsi"/>
          <w:b/>
          <w:bCs/>
          <w:iCs/>
          <w:sz w:val="24"/>
          <w:szCs w:val="24"/>
          <w:lang w:eastAsia="it-IT"/>
        </w:rPr>
        <w:t>23/09/2025</w:t>
      </w:r>
      <w:r w:rsidR="00C4294E" w:rsidRPr="002E3616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2E3616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67181B" w:rsidRPr="002E3616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Pr="002E3616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2E3616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2E3616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2E3616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4D33D2DC" w:rsidR="004241AC" w:rsidRPr="002E36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2E3616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67181B" w:rsidRPr="002E3616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7170D7" w:rsidRPr="002E3616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E3616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FF50B2" w:rsidRPr="002E3616">
        <w:rPr>
          <w:rFonts w:eastAsia="Calibri" w:cstheme="minorHAnsi"/>
          <w:sz w:val="24"/>
          <w:szCs w:val="24"/>
          <w:lang w:eastAsia="it-IT"/>
        </w:rPr>
        <w:t>(https://medicinali.aifa.gov.it</w:t>
      </w:r>
      <w:r w:rsidR="00983038" w:rsidRPr="002E3616">
        <w:rPr>
          <w:rFonts w:eastAsia="Calibri" w:cstheme="minorHAnsi"/>
          <w:sz w:val="24"/>
          <w:szCs w:val="24"/>
          <w:lang w:eastAsia="it-IT"/>
        </w:rPr>
        <w:t>)</w:t>
      </w:r>
      <w:r w:rsidR="00FF50B2" w:rsidRPr="002E3616">
        <w:rPr>
          <w:rFonts w:eastAsia="Calibri" w:cstheme="minorHAnsi"/>
          <w:sz w:val="24"/>
          <w:szCs w:val="24"/>
          <w:lang w:eastAsia="it-IT"/>
        </w:rPr>
        <w:t xml:space="preserve"> </w:t>
      </w:r>
      <w:r w:rsidRPr="002E3616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2E3616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2E3616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2E3616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041E8ED8" w:rsidR="004241AC" w:rsidRPr="002E3616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2E3616">
        <w:rPr>
          <w:rFonts w:eastAsia="Calibri" w:cstheme="minorHAnsi"/>
          <w:sz w:val="24"/>
          <w:szCs w:val="24"/>
          <w:lang w:eastAsia="it-IT"/>
        </w:rPr>
        <w:t xml:space="preserve">Questo riassunto è stato </w:t>
      </w:r>
      <w:r w:rsidRPr="0075392D">
        <w:rPr>
          <w:rFonts w:eastAsia="Calibri" w:cstheme="minorHAnsi"/>
          <w:sz w:val="24"/>
          <w:szCs w:val="24"/>
          <w:lang w:eastAsia="it-IT"/>
        </w:rPr>
        <w:t xml:space="preserve">redatto in </w:t>
      </w:r>
      <w:r w:rsidR="00B1186F" w:rsidRPr="0075392D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75392D" w:rsidRPr="0075392D">
        <w:rPr>
          <w:rFonts w:eastAsia="Calibri" w:cstheme="minorHAnsi"/>
          <w:sz w:val="24"/>
          <w:szCs w:val="24"/>
          <w:lang w:eastAsia="it-IT"/>
        </w:rPr>
        <w:t>10</w:t>
      </w:r>
      <w:r w:rsidR="00C4294E" w:rsidRPr="0075392D">
        <w:rPr>
          <w:rFonts w:eastAsia="Calibri" w:cstheme="minorHAnsi"/>
          <w:sz w:val="24"/>
          <w:szCs w:val="24"/>
          <w:lang w:eastAsia="it-IT"/>
        </w:rPr>
        <w:t>/1</w:t>
      </w:r>
      <w:r w:rsidR="0075392D" w:rsidRPr="0075392D">
        <w:rPr>
          <w:rFonts w:eastAsia="Calibri" w:cstheme="minorHAnsi"/>
          <w:sz w:val="24"/>
          <w:szCs w:val="24"/>
          <w:lang w:eastAsia="it-IT"/>
        </w:rPr>
        <w:t>2</w:t>
      </w:r>
      <w:r w:rsidR="00C4294E" w:rsidRPr="0075392D">
        <w:rPr>
          <w:rFonts w:eastAsia="Calibri" w:cstheme="minorHAnsi"/>
          <w:sz w:val="24"/>
          <w:szCs w:val="24"/>
          <w:lang w:eastAsia="it-IT"/>
        </w:rPr>
        <w:t>/2025.</w:t>
      </w:r>
    </w:p>
    <w:p w14:paraId="512E9D42" w14:textId="43272BE8" w:rsidR="0075392D" w:rsidRDefault="0075392D" w:rsidP="0096543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  <w:bookmarkStart w:id="2" w:name="_GoBack"/>
      <w:bookmarkEnd w:id="2"/>
    </w:p>
    <w:p w14:paraId="1D4CAE1C" w14:textId="77777777" w:rsidR="0075392D" w:rsidRDefault="0075392D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272DB28" w14:textId="77777777" w:rsidR="0075392D" w:rsidRDefault="0075392D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4451466" w14:textId="21C01F06" w:rsidR="004E5A39" w:rsidRPr="002E3616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E3616">
        <w:rPr>
          <w:rFonts w:cstheme="minorHAnsi"/>
          <w:b/>
          <w:sz w:val="24"/>
          <w:szCs w:val="24"/>
        </w:rPr>
        <w:t>RELAZIONE PUBBLICA DI VALUTAZIONE</w:t>
      </w:r>
    </w:p>
    <w:p w14:paraId="7C5313E5" w14:textId="7339C067" w:rsidR="0075392D" w:rsidRDefault="0075392D" w:rsidP="00965432">
      <w:pPr>
        <w:spacing w:after="0"/>
        <w:rPr>
          <w:rFonts w:cstheme="minorHAnsi"/>
          <w:b/>
          <w:sz w:val="24"/>
          <w:szCs w:val="24"/>
        </w:rPr>
      </w:pPr>
    </w:p>
    <w:p w14:paraId="099718C5" w14:textId="049E0008" w:rsidR="00965432" w:rsidRDefault="00965432" w:rsidP="00965432">
      <w:pPr>
        <w:spacing w:after="0"/>
        <w:rPr>
          <w:rFonts w:cstheme="minorHAnsi"/>
          <w:b/>
          <w:sz w:val="24"/>
          <w:szCs w:val="24"/>
        </w:rPr>
      </w:pPr>
    </w:p>
    <w:p w14:paraId="3C73EACE" w14:textId="4603A7A5" w:rsidR="00965432" w:rsidRDefault="00965432" w:rsidP="00965432">
      <w:pPr>
        <w:spacing w:after="0"/>
        <w:rPr>
          <w:rFonts w:cstheme="minorHAnsi"/>
          <w:b/>
          <w:sz w:val="24"/>
          <w:szCs w:val="24"/>
        </w:rPr>
      </w:pPr>
    </w:p>
    <w:p w14:paraId="1543315F" w14:textId="77777777" w:rsidR="00965432" w:rsidRDefault="00965432">
      <w:pPr>
        <w:rPr>
          <w:rFonts w:cstheme="minorHAnsi"/>
          <w:b/>
          <w:sz w:val="24"/>
          <w:szCs w:val="24"/>
        </w:rPr>
      </w:pPr>
    </w:p>
    <w:p w14:paraId="7BACB50F" w14:textId="7D994759" w:rsidR="004E5A39" w:rsidRPr="002E3616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E3616">
        <w:rPr>
          <w:rFonts w:cstheme="minorHAnsi"/>
          <w:b/>
          <w:sz w:val="24"/>
          <w:szCs w:val="24"/>
        </w:rPr>
        <w:t>INDICE</w:t>
      </w:r>
    </w:p>
    <w:p w14:paraId="473AD60A" w14:textId="104956A0" w:rsidR="004E5A39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88D0154" w14:textId="0478DF1E" w:rsidR="00A23CC2" w:rsidRDefault="00A23CC2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142F15" w14:textId="77777777" w:rsidR="00A23CC2" w:rsidRPr="002E3616" w:rsidRDefault="00A23CC2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2E3616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2E3616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2E3616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2E3616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E3616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2E3616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2E3616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E3616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2E3616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2E3616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E3616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2E3616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2E3616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E3616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2E3616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2E3616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2E3616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1F069E4A" w14:textId="5BF33022" w:rsidR="0075392D" w:rsidRPr="002E3616" w:rsidRDefault="0075392D" w:rsidP="004E5A3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7F2A67FE" w14:textId="77777777" w:rsidR="004E5A39" w:rsidRPr="002E3616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2E3616">
        <w:rPr>
          <w:rFonts w:cstheme="minorHAnsi"/>
          <w:b/>
          <w:sz w:val="24"/>
          <w:szCs w:val="24"/>
        </w:rPr>
        <w:lastRenderedPageBreak/>
        <w:t>INTRODUZIONE</w:t>
      </w:r>
    </w:p>
    <w:p w14:paraId="18E48478" w14:textId="75D2C137" w:rsidR="004E5A39" w:rsidRPr="002E3616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2E3616">
        <w:rPr>
          <w:rFonts w:cstheme="minorHAnsi"/>
          <w:sz w:val="24"/>
          <w:szCs w:val="24"/>
        </w:rPr>
        <w:t xml:space="preserve">Sulla base dei dati di qualità, sicurezza ed efficacia, l’AIFA ha </w:t>
      </w:r>
      <w:r w:rsidRPr="006B45FF">
        <w:rPr>
          <w:rFonts w:cstheme="minorHAnsi"/>
          <w:sz w:val="24"/>
          <w:szCs w:val="24"/>
        </w:rPr>
        <w:t xml:space="preserve">rilasciato a </w:t>
      </w:r>
      <w:r w:rsidR="00F16316" w:rsidRPr="006B45FF">
        <w:rPr>
          <w:rFonts w:cstheme="minorHAnsi"/>
          <w:sz w:val="24"/>
          <w:szCs w:val="24"/>
        </w:rPr>
        <w:t xml:space="preserve">ABDI </w:t>
      </w:r>
      <w:proofErr w:type="spellStart"/>
      <w:r w:rsidR="00F16316" w:rsidRPr="006B45FF">
        <w:rPr>
          <w:rFonts w:cstheme="minorHAnsi"/>
          <w:sz w:val="24"/>
          <w:szCs w:val="24"/>
        </w:rPr>
        <w:t>Farma</w:t>
      </w:r>
      <w:proofErr w:type="spellEnd"/>
      <w:r w:rsidR="00F16316" w:rsidRPr="006B45FF">
        <w:rPr>
          <w:rFonts w:cstheme="minorHAnsi"/>
          <w:sz w:val="24"/>
          <w:szCs w:val="24"/>
        </w:rPr>
        <w:t xml:space="preserve"> </w:t>
      </w:r>
      <w:proofErr w:type="spellStart"/>
      <w:r w:rsidR="00F16316" w:rsidRPr="006B45FF">
        <w:rPr>
          <w:rFonts w:cstheme="minorHAnsi"/>
          <w:sz w:val="24"/>
          <w:szCs w:val="24"/>
        </w:rPr>
        <w:t>Gmbh</w:t>
      </w:r>
      <w:proofErr w:type="spellEnd"/>
      <w:r w:rsidR="006B45FF" w:rsidRPr="006B45FF">
        <w:rPr>
          <w:rFonts w:cstheme="minorHAnsi"/>
          <w:sz w:val="24"/>
          <w:szCs w:val="24"/>
        </w:rPr>
        <w:t xml:space="preserve"> </w:t>
      </w:r>
      <w:r w:rsidRPr="002E3616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67181B" w:rsidRPr="002E3616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7170D7" w:rsidRPr="002E3616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2E3616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C4294E" w:rsidRPr="002E3616">
        <w:rPr>
          <w:rFonts w:eastAsia="Calibri" w:cstheme="minorHAnsi"/>
          <w:bCs/>
          <w:iCs/>
          <w:sz w:val="24"/>
          <w:szCs w:val="24"/>
          <w:lang w:eastAsia="it-IT"/>
        </w:rPr>
        <w:t>23/09/2025</w:t>
      </w:r>
      <w:r w:rsidR="00C4294E" w:rsidRPr="002E3616">
        <w:rPr>
          <w:rFonts w:cstheme="minorHAnsi"/>
          <w:sz w:val="24"/>
          <w:szCs w:val="24"/>
        </w:rPr>
        <w:t>.</w:t>
      </w:r>
    </w:p>
    <w:p w14:paraId="11BAB98D" w14:textId="77777777" w:rsidR="004E5A39" w:rsidRPr="002E3616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B4F735" w14:textId="38DDE251" w:rsidR="00EF6711" w:rsidRPr="002E3616" w:rsidRDefault="0067181B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E3616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7170D7" w:rsidRPr="002E3616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EF6711" w:rsidRPr="002E3616">
        <w:rPr>
          <w:rFonts w:eastAsia="Calibri" w:cstheme="minorHAnsi"/>
          <w:color w:val="000000"/>
          <w:sz w:val="24"/>
          <w:szCs w:val="24"/>
          <w:lang w:eastAsia="it-IT"/>
        </w:rPr>
        <w:t xml:space="preserve">può essere ottenuto solo su </w:t>
      </w:r>
      <w:r w:rsidR="00185243" w:rsidRPr="002E3616">
        <w:rPr>
          <w:rFonts w:eastAsia="Calibri" w:cstheme="minorHAnsi"/>
          <w:color w:val="000000"/>
          <w:sz w:val="24"/>
          <w:szCs w:val="24"/>
          <w:lang w:eastAsia="it-IT"/>
        </w:rPr>
        <w:t>prescrizione da parte del medico (ricetta ripetibile).</w:t>
      </w:r>
    </w:p>
    <w:p w14:paraId="33401E76" w14:textId="77777777" w:rsidR="00185243" w:rsidRPr="002E3616" w:rsidRDefault="00185243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0B3D147C" w:rsidR="004E5A39" w:rsidRPr="002E3616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3616">
        <w:rPr>
          <w:rFonts w:cstheme="minorHAnsi"/>
          <w:sz w:val="24"/>
          <w:szCs w:val="24"/>
        </w:rPr>
        <w:t xml:space="preserve">Questa procedura è stata presentata ai sensi dell’art. </w:t>
      </w:r>
      <w:r w:rsidR="00185243" w:rsidRPr="002E3616">
        <w:rPr>
          <w:rFonts w:cstheme="minorHAnsi"/>
          <w:sz w:val="24"/>
          <w:szCs w:val="24"/>
        </w:rPr>
        <w:t xml:space="preserve">10.1 </w:t>
      </w:r>
      <w:r w:rsidRPr="002E3616">
        <w:rPr>
          <w:rFonts w:cstheme="minorHAnsi"/>
          <w:sz w:val="24"/>
          <w:szCs w:val="24"/>
        </w:rPr>
        <w:t xml:space="preserve">della Direttiva 2001/83/EU </w:t>
      </w:r>
      <w:proofErr w:type="spellStart"/>
      <w:r w:rsidRPr="002E3616">
        <w:rPr>
          <w:rFonts w:cstheme="minorHAnsi"/>
          <w:sz w:val="24"/>
          <w:szCs w:val="24"/>
        </w:rPr>
        <w:t>s.m.i.</w:t>
      </w:r>
      <w:proofErr w:type="spellEnd"/>
      <w:r w:rsidR="00F964BE" w:rsidRPr="002E3616">
        <w:rPr>
          <w:rFonts w:cstheme="minorHAnsi"/>
          <w:sz w:val="24"/>
          <w:szCs w:val="24"/>
        </w:rPr>
        <w:t xml:space="preserve"> (</w:t>
      </w:r>
      <w:proofErr w:type="spellStart"/>
      <w:r w:rsidR="00185243" w:rsidRPr="002E3616">
        <w:rPr>
          <w:rFonts w:cstheme="minorHAnsi"/>
          <w:sz w:val="24"/>
          <w:szCs w:val="24"/>
        </w:rPr>
        <w:t>generic</w:t>
      </w:r>
      <w:proofErr w:type="spellEnd"/>
      <w:r w:rsidR="00185243" w:rsidRPr="002E3616">
        <w:rPr>
          <w:rFonts w:cstheme="minorHAnsi"/>
          <w:sz w:val="24"/>
          <w:szCs w:val="24"/>
        </w:rPr>
        <w:t xml:space="preserve"> </w:t>
      </w:r>
      <w:proofErr w:type="spellStart"/>
      <w:r w:rsidR="00185243" w:rsidRPr="002E3616">
        <w:rPr>
          <w:rFonts w:cstheme="minorHAnsi"/>
          <w:sz w:val="24"/>
          <w:szCs w:val="24"/>
        </w:rPr>
        <w:t>application</w:t>
      </w:r>
      <w:proofErr w:type="spellEnd"/>
      <w:r w:rsidR="00185243" w:rsidRPr="002E3616">
        <w:rPr>
          <w:rFonts w:cstheme="minorHAnsi"/>
          <w:sz w:val="24"/>
          <w:szCs w:val="24"/>
        </w:rPr>
        <w:t>).</w:t>
      </w:r>
    </w:p>
    <w:p w14:paraId="110C1118" w14:textId="77777777" w:rsidR="0098470E" w:rsidRPr="002E3616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6F88C9B" w14:textId="09594501" w:rsidR="004E5A39" w:rsidRPr="005A37E4" w:rsidRDefault="0067181B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5A37E4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42214D" w:rsidRPr="005A37E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5A37E4">
        <w:rPr>
          <w:rFonts w:eastAsia="Calibri" w:cstheme="minorHAnsi"/>
          <w:sz w:val="24"/>
          <w:szCs w:val="24"/>
          <w:lang w:eastAsia="it-IT"/>
        </w:rPr>
        <w:t xml:space="preserve">è un medicinale contenente </w:t>
      </w:r>
      <w:r w:rsidR="00185243" w:rsidRPr="005A37E4">
        <w:rPr>
          <w:rFonts w:eastAsia="Calibri" w:cstheme="minorHAnsi"/>
          <w:sz w:val="24"/>
          <w:szCs w:val="24"/>
          <w:lang w:eastAsia="it-IT"/>
        </w:rPr>
        <w:t>il</w:t>
      </w:r>
      <w:r w:rsidR="004E5A39" w:rsidRPr="005A37E4">
        <w:rPr>
          <w:rFonts w:eastAsia="Calibri" w:cstheme="minorHAnsi"/>
          <w:sz w:val="24"/>
          <w:szCs w:val="24"/>
          <w:lang w:eastAsia="it-IT"/>
        </w:rPr>
        <w:t xml:space="preserve"> principio attivo</w:t>
      </w:r>
      <w:r w:rsidR="0099120C" w:rsidRPr="005A37E4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185243" w:rsidRPr="005A37E4">
        <w:rPr>
          <w:rFonts w:eastAsia="Calibri" w:cstheme="minorHAnsi"/>
          <w:sz w:val="24"/>
          <w:szCs w:val="24"/>
          <w:lang w:eastAsia="it-IT"/>
        </w:rPr>
        <w:t>sitagliptin</w:t>
      </w:r>
      <w:proofErr w:type="spellEnd"/>
      <w:r w:rsidR="0042214D" w:rsidRPr="005A37E4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5A37E4">
        <w:rPr>
          <w:rFonts w:eastAsia="Calibri" w:cstheme="minorHAnsi"/>
          <w:sz w:val="24"/>
          <w:szCs w:val="24"/>
          <w:lang w:eastAsia="it-IT"/>
        </w:rPr>
        <w:t>present</w:t>
      </w:r>
      <w:r w:rsidR="00C42AAC" w:rsidRPr="005A37E4">
        <w:rPr>
          <w:rFonts w:eastAsia="Calibri" w:cstheme="minorHAnsi"/>
          <w:sz w:val="24"/>
          <w:szCs w:val="24"/>
          <w:lang w:eastAsia="it-IT"/>
        </w:rPr>
        <w:t>e</w:t>
      </w:r>
      <w:r w:rsidR="004E5A39" w:rsidRPr="005A37E4">
        <w:rPr>
          <w:rFonts w:eastAsia="Calibri" w:cstheme="minorHAnsi"/>
          <w:sz w:val="24"/>
          <w:szCs w:val="24"/>
          <w:lang w:eastAsia="it-IT"/>
        </w:rPr>
        <w:t xml:space="preserve"> nel medicinale di riferimento</w:t>
      </w:r>
      <w:r w:rsidR="00185243" w:rsidRPr="005A37E4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185243" w:rsidRPr="005A37E4">
        <w:rPr>
          <w:rFonts w:eastAsia="Calibri" w:cstheme="minorHAnsi"/>
          <w:sz w:val="24"/>
          <w:szCs w:val="24"/>
          <w:lang w:eastAsia="it-IT"/>
        </w:rPr>
        <w:t>Januvia</w:t>
      </w:r>
      <w:proofErr w:type="spellEnd"/>
      <w:r w:rsidR="00185243" w:rsidRPr="005A37E4">
        <w:rPr>
          <w:rFonts w:eastAsia="Calibri" w:cstheme="minorHAnsi"/>
          <w:sz w:val="24"/>
          <w:szCs w:val="24"/>
          <w:lang w:eastAsia="it-IT"/>
        </w:rPr>
        <w:t xml:space="preserve"> </w:t>
      </w:r>
      <w:r w:rsidR="0042214D" w:rsidRPr="005A37E4">
        <w:rPr>
          <w:rFonts w:eastAsia="Calibri" w:cstheme="minorHAnsi"/>
          <w:sz w:val="24"/>
          <w:szCs w:val="24"/>
          <w:lang w:eastAsia="it-IT"/>
        </w:rPr>
        <w:t>aut</w:t>
      </w:r>
      <w:r w:rsidR="004E5A39" w:rsidRPr="005A37E4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7D2539" w:rsidRPr="005A37E4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5A37E4">
        <w:rPr>
          <w:rFonts w:eastAsia="Calibri" w:cstheme="minorHAnsi"/>
          <w:sz w:val="24"/>
          <w:szCs w:val="24"/>
          <w:lang w:eastAsia="it-IT"/>
        </w:rPr>
        <w:t>anni</w:t>
      </w:r>
      <w:r w:rsidR="00EA0C3F" w:rsidRPr="00E65A3F">
        <w:rPr>
          <w:rFonts w:eastAsia="Calibri" w:cstheme="minorHAnsi"/>
          <w:sz w:val="24"/>
          <w:szCs w:val="24"/>
          <w:lang w:eastAsia="it-IT"/>
        </w:rPr>
        <w:t>.</w:t>
      </w:r>
    </w:p>
    <w:p w14:paraId="5836C357" w14:textId="77777777" w:rsidR="004E5A39" w:rsidRPr="006B45FF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788D7A1" w14:textId="00B1A9F7" w:rsidR="00185243" w:rsidRPr="00E65A3F" w:rsidRDefault="0067181B" w:rsidP="00185243">
      <w:pPr>
        <w:numPr>
          <w:ilvl w:val="12"/>
          <w:numId w:val="0"/>
        </w:numPr>
        <w:spacing w:line="240" w:lineRule="auto"/>
        <w:ind w:right="-2"/>
        <w:rPr>
          <w:bCs/>
          <w:sz w:val="24"/>
          <w:szCs w:val="24"/>
        </w:rPr>
      </w:pPr>
      <w:r w:rsidRPr="006B45FF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4E5A39" w:rsidRPr="006B45FF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6B45FF">
        <w:rPr>
          <w:rFonts w:cstheme="minorHAnsi"/>
          <w:sz w:val="24"/>
          <w:szCs w:val="24"/>
        </w:rPr>
        <w:t xml:space="preserve">il </w:t>
      </w:r>
      <w:r w:rsidR="004E5A39" w:rsidRPr="00E65A3F">
        <w:rPr>
          <w:rFonts w:cstheme="minorHAnsi"/>
          <w:sz w:val="24"/>
          <w:szCs w:val="24"/>
        </w:rPr>
        <w:t>cui c</w:t>
      </w:r>
      <w:r w:rsidR="004E5A39" w:rsidRPr="00E65A3F">
        <w:rPr>
          <w:rFonts w:cstheme="minorHAnsi"/>
          <w:iCs/>
          <w:sz w:val="24"/>
          <w:szCs w:val="24"/>
        </w:rPr>
        <w:t xml:space="preserve">odice ATC è </w:t>
      </w:r>
      <w:r w:rsidR="00185243" w:rsidRPr="00E65A3F">
        <w:rPr>
          <w:bCs/>
          <w:sz w:val="24"/>
          <w:szCs w:val="24"/>
        </w:rPr>
        <w:t>A10BH01,</w:t>
      </w:r>
      <w:r w:rsidR="004E5A39" w:rsidRPr="00E65A3F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E65A3F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E65A3F">
        <w:rPr>
          <w:rFonts w:eastAsia="Calibri" w:cstheme="minorHAnsi"/>
          <w:sz w:val="24"/>
          <w:szCs w:val="24"/>
          <w:lang w:eastAsia="it-IT"/>
        </w:rPr>
        <w:t>il</w:t>
      </w:r>
      <w:r w:rsidR="004E5A39" w:rsidRPr="00E65A3F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E65A3F">
        <w:rPr>
          <w:rFonts w:eastAsia="Calibri" w:cstheme="minorHAnsi"/>
          <w:sz w:val="24"/>
          <w:szCs w:val="24"/>
          <w:lang w:eastAsia="it-IT"/>
        </w:rPr>
        <w:t>o</w:t>
      </w:r>
      <w:r w:rsidR="004E5A39" w:rsidRPr="00E65A3F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E65A3F">
        <w:rPr>
          <w:rFonts w:eastAsia="Calibri" w:cstheme="minorHAnsi"/>
          <w:sz w:val="24"/>
          <w:szCs w:val="24"/>
          <w:lang w:eastAsia="it-IT"/>
        </w:rPr>
        <w:t>o</w:t>
      </w:r>
      <w:r w:rsidR="004E5A39" w:rsidRPr="00E65A3F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proofErr w:type="gramStart"/>
      <w:r w:rsidR="00185243" w:rsidRPr="00E65A3F">
        <w:rPr>
          <w:rFonts w:eastAsia="Calibri" w:cstheme="minorHAnsi"/>
          <w:sz w:val="24"/>
          <w:szCs w:val="24"/>
          <w:lang w:eastAsia="it-IT"/>
        </w:rPr>
        <w:t>sitagliptin</w:t>
      </w:r>
      <w:proofErr w:type="spellEnd"/>
      <w:r w:rsidR="0042214D" w:rsidRPr="00E65A3F">
        <w:rPr>
          <w:rFonts w:eastAsia="Calibri" w:cstheme="minorHAnsi"/>
          <w:sz w:val="24"/>
          <w:szCs w:val="24"/>
          <w:lang w:eastAsia="it-IT"/>
        </w:rPr>
        <w:t xml:space="preserve"> </w:t>
      </w:r>
      <w:r w:rsidR="00185243" w:rsidRPr="00E65A3F">
        <w:rPr>
          <w:rFonts w:eastAsia="Calibri" w:cstheme="minorHAnsi"/>
          <w:sz w:val="24"/>
          <w:szCs w:val="24"/>
          <w:lang w:eastAsia="it-IT"/>
        </w:rPr>
        <w:t>,</w:t>
      </w:r>
      <w:proofErr w:type="gramEnd"/>
      <w:r w:rsidR="00185243" w:rsidRPr="00E65A3F">
        <w:rPr>
          <w:rFonts w:eastAsia="Calibri" w:cstheme="minorHAnsi"/>
          <w:sz w:val="24"/>
          <w:szCs w:val="24"/>
          <w:lang w:eastAsia="it-IT"/>
        </w:rPr>
        <w:t xml:space="preserve"> che </w:t>
      </w:r>
      <w:r w:rsidR="00185243" w:rsidRPr="00E65A3F">
        <w:rPr>
          <w:bCs/>
          <w:sz w:val="24"/>
          <w:szCs w:val="24"/>
        </w:rPr>
        <w:t xml:space="preserve">appartiene a una classe di medicinali </w:t>
      </w:r>
      <w:proofErr w:type="spellStart"/>
      <w:r w:rsidR="00185243" w:rsidRPr="00E65A3F">
        <w:rPr>
          <w:bCs/>
          <w:sz w:val="24"/>
          <w:szCs w:val="24"/>
        </w:rPr>
        <w:t>antiiperglicemici</w:t>
      </w:r>
      <w:proofErr w:type="spellEnd"/>
      <w:r w:rsidR="00185243" w:rsidRPr="00E65A3F">
        <w:rPr>
          <w:bCs/>
          <w:sz w:val="24"/>
          <w:szCs w:val="24"/>
        </w:rPr>
        <w:t xml:space="preserve"> per uso orale denominati inibitori della </w:t>
      </w:r>
      <w:proofErr w:type="spellStart"/>
      <w:r w:rsidR="00185243" w:rsidRPr="00E65A3F">
        <w:rPr>
          <w:bCs/>
          <w:sz w:val="24"/>
          <w:szCs w:val="24"/>
        </w:rPr>
        <w:t>dipeptidil</w:t>
      </w:r>
      <w:proofErr w:type="spellEnd"/>
      <w:r w:rsidR="00185243" w:rsidRPr="00E65A3F">
        <w:rPr>
          <w:bCs/>
          <w:sz w:val="24"/>
          <w:szCs w:val="24"/>
        </w:rPr>
        <w:t xml:space="preserve"> peptidasi 4 (DPP-4). Il miglioramento del controllo glicemico osservato con questo medicinale può essere mediato dall’aumento dei livelli di </w:t>
      </w:r>
      <w:proofErr w:type="spellStart"/>
      <w:r w:rsidR="00185243" w:rsidRPr="00E65A3F">
        <w:rPr>
          <w:bCs/>
          <w:sz w:val="24"/>
          <w:szCs w:val="24"/>
        </w:rPr>
        <w:t>incretine</w:t>
      </w:r>
      <w:proofErr w:type="spellEnd"/>
      <w:r w:rsidR="00185243" w:rsidRPr="00E65A3F">
        <w:rPr>
          <w:bCs/>
          <w:sz w:val="24"/>
          <w:szCs w:val="24"/>
        </w:rPr>
        <w:t xml:space="preserve"> attive. Le </w:t>
      </w:r>
      <w:proofErr w:type="spellStart"/>
      <w:r w:rsidR="00185243" w:rsidRPr="00E65A3F">
        <w:rPr>
          <w:bCs/>
          <w:sz w:val="24"/>
          <w:szCs w:val="24"/>
        </w:rPr>
        <w:t>incretine</w:t>
      </w:r>
      <w:proofErr w:type="spellEnd"/>
      <w:r w:rsidR="00185243" w:rsidRPr="00E65A3F">
        <w:rPr>
          <w:bCs/>
          <w:sz w:val="24"/>
          <w:szCs w:val="24"/>
        </w:rPr>
        <w:t xml:space="preserve">, ormoni che comprendono il peptide-1 glucagone-simile (GLP-1) ed il polipeptide </w:t>
      </w:r>
      <w:proofErr w:type="spellStart"/>
      <w:r w:rsidR="00185243" w:rsidRPr="00E65A3F">
        <w:rPr>
          <w:bCs/>
          <w:sz w:val="24"/>
          <w:szCs w:val="24"/>
        </w:rPr>
        <w:t>insulinotropico</w:t>
      </w:r>
      <w:proofErr w:type="spellEnd"/>
      <w:r w:rsidR="00185243" w:rsidRPr="00E65A3F">
        <w:rPr>
          <w:bCs/>
          <w:sz w:val="24"/>
          <w:szCs w:val="24"/>
        </w:rPr>
        <w:t xml:space="preserve"> glucosio- dipendente (GIP), vengono rilasciate dall’intestino durante il giorno, ed il loro livello aumenta in risposta ai pasti. Le </w:t>
      </w:r>
      <w:proofErr w:type="spellStart"/>
      <w:r w:rsidR="00185243" w:rsidRPr="00E65A3F">
        <w:rPr>
          <w:bCs/>
          <w:sz w:val="24"/>
          <w:szCs w:val="24"/>
        </w:rPr>
        <w:t>incretine</w:t>
      </w:r>
      <w:proofErr w:type="spellEnd"/>
      <w:r w:rsidR="00185243" w:rsidRPr="00E65A3F">
        <w:rPr>
          <w:bCs/>
          <w:sz w:val="24"/>
          <w:szCs w:val="24"/>
        </w:rPr>
        <w:t xml:space="preserve"> fanno parte di un sistema endogeno coinvolto nella regolazione fisiologica dell’omeostasi del glucosio. Quando la glicemia è normale o elevata, GLP-1 e GIP aumentano la sintesi e il rilascio di insulina da parte delle cellule pancreatiche beta, attraverso vie di segnalazione intracellulari che coinvolgono l’AMP ciclico. In modelli animali di diabete di tipo 2, il trattamento con GLP-1 o con gli inibitori della DPP-4 ha dimostrato di migliorare la risposta delle cellule beta al glucosio e di stimolare la biosintesi e il rilascio di insulina. Con livelli più alti di insulina, viene aumentata la captazione tissutale del glucosio. GLP-1 diminuisce inoltre la secrezione di glucagone da parte delle cellule pancreatiche alfa. Minori concentrazioni di glucagone, insieme a più alti livelli di insulina, inducono una ridotta produzione epatica di glucosio, che dà luogo ad una diminuzione della glicemia. Gli effetti di GLP-1 e GIP sono glucosio dipendenti così che, quando la glicemia è bassa, non si osservano stimoli per il rilascio di insulina e per la soppressione della secrezione di glucagone da parte del GLP-1. Per entrambi GLP-1 e GIP la stimolazione del rilascio di insulina si alza quando il glucosio sale sopra le normali concentrazioni. Inoltre, il GLP-1 non influisce sulla normale risposta del glucagone all’ipoglicemia. L’attività del GLP-1 e del GIP è limitata dall’enzima DPP-4 che idrolizza rapidamente le </w:t>
      </w:r>
      <w:proofErr w:type="spellStart"/>
      <w:r w:rsidR="00185243" w:rsidRPr="00E65A3F">
        <w:rPr>
          <w:bCs/>
          <w:sz w:val="24"/>
          <w:szCs w:val="24"/>
        </w:rPr>
        <w:t>incretine</w:t>
      </w:r>
      <w:proofErr w:type="spellEnd"/>
      <w:r w:rsidR="00185243" w:rsidRPr="00E65A3F">
        <w:rPr>
          <w:bCs/>
          <w:sz w:val="24"/>
          <w:szCs w:val="24"/>
        </w:rPr>
        <w:t xml:space="preserve"> a metaboliti inattivi. </w:t>
      </w:r>
      <w:proofErr w:type="spellStart"/>
      <w:r w:rsidR="00185243" w:rsidRPr="00E65A3F">
        <w:rPr>
          <w:bCs/>
          <w:sz w:val="24"/>
          <w:szCs w:val="24"/>
        </w:rPr>
        <w:t>Sitagliptin</w:t>
      </w:r>
      <w:proofErr w:type="spellEnd"/>
      <w:r w:rsidR="00185243" w:rsidRPr="00E65A3F">
        <w:rPr>
          <w:bCs/>
          <w:sz w:val="24"/>
          <w:szCs w:val="24"/>
        </w:rPr>
        <w:t xml:space="preserve"> impedisce l’idrolisi delle </w:t>
      </w:r>
      <w:proofErr w:type="spellStart"/>
      <w:r w:rsidR="00185243" w:rsidRPr="00E65A3F">
        <w:rPr>
          <w:bCs/>
          <w:sz w:val="24"/>
          <w:szCs w:val="24"/>
        </w:rPr>
        <w:t>incretine</w:t>
      </w:r>
      <w:proofErr w:type="spellEnd"/>
      <w:r w:rsidR="00185243" w:rsidRPr="00E65A3F">
        <w:rPr>
          <w:bCs/>
          <w:sz w:val="24"/>
          <w:szCs w:val="24"/>
        </w:rPr>
        <w:t xml:space="preserve"> da parte del DPP-4, aumentando pertanto le concentrazioni plasmatiche delle forme attive di GLP-1 e GIP. Aumentando i livelli di </w:t>
      </w:r>
      <w:proofErr w:type="spellStart"/>
      <w:r w:rsidR="00185243" w:rsidRPr="00E65A3F">
        <w:rPr>
          <w:bCs/>
          <w:sz w:val="24"/>
          <w:szCs w:val="24"/>
        </w:rPr>
        <w:t>incretine</w:t>
      </w:r>
      <w:proofErr w:type="spellEnd"/>
      <w:r w:rsidR="00185243" w:rsidRPr="00E65A3F">
        <w:rPr>
          <w:bCs/>
          <w:sz w:val="24"/>
          <w:szCs w:val="24"/>
        </w:rPr>
        <w:t xml:space="preserve"> attive </w:t>
      </w:r>
      <w:proofErr w:type="spellStart"/>
      <w:r w:rsidR="00185243" w:rsidRPr="00E65A3F">
        <w:rPr>
          <w:bCs/>
          <w:sz w:val="24"/>
          <w:szCs w:val="24"/>
        </w:rPr>
        <w:t>sitagliptin</w:t>
      </w:r>
      <w:proofErr w:type="spellEnd"/>
      <w:r w:rsidR="00185243" w:rsidRPr="00E65A3F">
        <w:rPr>
          <w:bCs/>
          <w:sz w:val="24"/>
          <w:szCs w:val="24"/>
        </w:rPr>
        <w:t xml:space="preserve"> aumenta il rilascio di insulina e diminuisce i livelli di glucagone in modo glucosio-dipendente. In pazienti con diabete di tipo 2 con iperglicemia, tali variazioni nei livelli di insulina e glucagone inducono una diminuzione della emoglobina A1c (HbA1c) e minori concentrazioni di glucosio a digiuno e nel postprandiale. </w:t>
      </w:r>
    </w:p>
    <w:p w14:paraId="7A21CE17" w14:textId="77777777" w:rsidR="00EF6711" w:rsidRPr="002E3616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7BFF9AEF" w14:textId="1BD19DC8" w:rsidR="0000134A" w:rsidRPr="002E3616" w:rsidRDefault="0000134A" w:rsidP="0000134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</w:rPr>
      </w:pPr>
      <w:r w:rsidRPr="002E3616">
        <w:rPr>
          <w:rFonts w:eastAsia="Calibri" w:cstheme="minorHAnsi"/>
          <w:color w:val="000000"/>
          <w:sz w:val="24"/>
          <w:szCs w:val="24"/>
          <w:lang w:eastAsia="it-IT"/>
        </w:rPr>
        <w:t xml:space="preserve">Per </w:t>
      </w:r>
      <w:r w:rsidRPr="002E3616">
        <w:rPr>
          <w:bCs/>
          <w:sz w:val="24"/>
          <w:szCs w:val="24"/>
        </w:rPr>
        <w:t xml:space="preserve">pazienti adulti con diabete mellito di tipo 2, </w:t>
      </w:r>
      <w:proofErr w:type="spellStart"/>
      <w:r w:rsidRPr="002E3616">
        <w:rPr>
          <w:bCs/>
          <w:sz w:val="24"/>
          <w:szCs w:val="24"/>
        </w:rPr>
        <w:t>Sitagliptin</w:t>
      </w:r>
      <w:proofErr w:type="spellEnd"/>
      <w:r w:rsidRPr="002E3616">
        <w:rPr>
          <w:bCs/>
          <w:sz w:val="24"/>
          <w:szCs w:val="24"/>
        </w:rPr>
        <w:t xml:space="preserve"> Abdi è utilizzato per migliorare il controllo glicemico:</w:t>
      </w:r>
    </w:p>
    <w:p w14:paraId="0AAEA9FE" w14:textId="77777777" w:rsidR="0000134A" w:rsidRPr="002E3616" w:rsidRDefault="0000134A" w:rsidP="0000134A">
      <w:pPr>
        <w:numPr>
          <w:ilvl w:val="12"/>
          <w:numId w:val="0"/>
        </w:numPr>
        <w:spacing w:line="240" w:lineRule="auto"/>
        <w:ind w:right="-2"/>
        <w:rPr>
          <w:bCs/>
          <w:sz w:val="24"/>
          <w:szCs w:val="24"/>
        </w:rPr>
      </w:pPr>
    </w:p>
    <w:p w14:paraId="1BDBED0A" w14:textId="5A0D9868" w:rsidR="0000134A" w:rsidRPr="002E3616" w:rsidRDefault="0000134A" w:rsidP="0000134A">
      <w:pPr>
        <w:numPr>
          <w:ilvl w:val="12"/>
          <w:numId w:val="0"/>
        </w:numPr>
        <w:spacing w:line="240" w:lineRule="auto"/>
        <w:ind w:right="-2"/>
        <w:rPr>
          <w:bCs/>
          <w:sz w:val="24"/>
          <w:szCs w:val="24"/>
        </w:rPr>
      </w:pPr>
      <w:r w:rsidRPr="002E3616">
        <w:rPr>
          <w:bCs/>
          <w:sz w:val="24"/>
          <w:szCs w:val="24"/>
        </w:rPr>
        <w:t>in monoterapia:</w:t>
      </w:r>
    </w:p>
    <w:p w14:paraId="5F215759" w14:textId="77777777" w:rsidR="0000134A" w:rsidRPr="0000134A" w:rsidRDefault="0000134A" w:rsidP="0000134A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  <w:sz w:val="24"/>
          <w:szCs w:val="24"/>
        </w:rPr>
      </w:pPr>
      <w:r w:rsidRPr="002E3616">
        <w:rPr>
          <w:bCs/>
          <w:sz w:val="24"/>
          <w:szCs w:val="24"/>
        </w:rPr>
        <w:t>in pazienti non adeguatamente controllati solamente con dieta ed esercizio fisico e per i quali la metformina non è appropriata per controindicazioni</w:t>
      </w:r>
      <w:r w:rsidRPr="0000134A">
        <w:rPr>
          <w:bCs/>
          <w:sz w:val="24"/>
          <w:szCs w:val="24"/>
        </w:rPr>
        <w:t xml:space="preserve"> o intolleranza.</w:t>
      </w:r>
    </w:p>
    <w:p w14:paraId="2F149690" w14:textId="77777777" w:rsidR="0000134A" w:rsidRPr="0000134A" w:rsidRDefault="0000134A" w:rsidP="0000134A">
      <w:pPr>
        <w:numPr>
          <w:ilvl w:val="12"/>
          <w:numId w:val="0"/>
        </w:numPr>
        <w:spacing w:line="240" w:lineRule="auto"/>
        <w:ind w:right="-2"/>
        <w:rPr>
          <w:bCs/>
          <w:sz w:val="24"/>
          <w:szCs w:val="24"/>
        </w:rPr>
      </w:pPr>
    </w:p>
    <w:p w14:paraId="26072EE5" w14:textId="569CB4CE" w:rsidR="0000134A" w:rsidRPr="0000134A" w:rsidRDefault="0000134A" w:rsidP="0000134A">
      <w:pPr>
        <w:numPr>
          <w:ilvl w:val="12"/>
          <w:numId w:val="0"/>
        </w:numPr>
        <w:spacing w:line="240" w:lineRule="auto"/>
        <w:ind w:right="-2"/>
        <w:rPr>
          <w:bCs/>
          <w:sz w:val="24"/>
          <w:szCs w:val="24"/>
        </w:rPr>
      </w:pPr>
      <w:r w:rsidRPr="0000134A">
        <w:rPr>
          <w:bCs/>
          <w:sz w:val="24"/>
          <w:szCs w:val="24"/>
        </w:rPr>
        <w:lastRenderedPageBreak/>
        <w:t>in duplice terapia orale in associazione con:</w:t>
      </w:r>
    </w:p>
    <w:p w14:paraId="7357622A" w14:textId="512FB1F5" w:rsidR="0000134A" w:rsidRPr="0000134A" w:rsidRDefault="0000134A" w:rsidP="0000134A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  <w:sz w:val="24"/>
          <w:szCs w:val="24"/>
        </w:rPr>
      </w:pPr>
      <w:r w:rsidRPr="0000134A">
        <w:rPr>
          <w:bCs/>
          <w:sz w:val="24"/>
          <w:szCs w:val="24"/>
        </w:rPr>
        <w:t>metformina, quando dieta ed esercizio fisico più metformina da sola non forniscono un adeguato controllo della glicemia.</w:t>
      </w:r>
    </w:p>
    <w:p w14:paraId="7F94AD79" w14:textId="76498D01" w:rsidR="0000134A" w:rsidRPr="0000134A" w:rsidRDefault="0000134A" w:rsidP="0000134A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  <w:sz w:val="24"/>
          <w:szCs w:val="24"/>
        </w:rPr>
      </w:pPr>
      <w:r w:rsidRPr="0000134A">
        <w:rPr>
          <w:bCs/>
          <w:sz w:val="24"/>
          <w:szCs w:val="24"/>
        </w:rPr>
        <w:t xml:space="preserve">una </w:t>
      </w:r>
      <w:proofErr w:type="spellStart"/>
      <w:r w:rsidRPr="0000134A">
        <w:rPr>
          <w:bCs/>
          <w:sz w:val="24"/>
          <w:szCs w:val="24"/>
        </w:rPr>
        <w:t>sulfonilurea</w:t>
      </w:r>
      <w:proofErr w:type="spellEnd"/>
      <w:r w:rsidRPr="0000134A">
        <w:rPr>
          <w:bCs/>
          <w:sz w:val="24"/>
          <w:szCs w:val="24"/>
        </w:rPr>
        <w:t xml:space="preserve">, quando dieta ed esercizio fisico più la dose massima tollerata di una </w:t>
      </w:r>
      <w:proofErr w:type="spellStart"/>
      <w:r w:rsidRPr="0000134A">
        <w:rPr>
          <w:bCs/>
          <w:sz w:val="24"/>
          <w:szCs w:val="24"/>
        </w:rPr>
        <w:t>sulfonilurea</w:t>
      </w:r>
      <w:proofErr w:type="spellEnd"/>
      <w:r w:rsidRPr="0000134A">
        <w:rPr>
          <w:bCs/>
          <w:sz w:val="24"/>
          <w:szCs w:val="24"/>
        </w:rPr>
        <w:t xml:space="preserve"> da sola non forniscono un adeguato controllo della glicemia e quando la metformina non è appropriata per controindicazioni o intolleranza.</w:t>
      </w:r>
    </w:p>
    <w:p w14:paraId="05CFF0F9" w14:textId="77777777" w:rsidR="0000134A" w:rsidRPr="0000134A" w:rsidRDefault="0000134A" w:rsidP="0000134A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  <w:sz w:val="24"/>
          <w:szCs w:val="24"/>
        </w:rPr>
      </w:pPr>
      <w:r w:rsidRPr="0000134A">
        <w:rPr>
          <w:bCs/>
          <w:sz w:val="24"/>
          <w:szCs w:val="24"/>
        </w:rPr>
        <w:t xml:space="preserve">un agonista del recettore gamma attivato dal </w:t>
      </w:r>
      <w:proofErr w:type="spellStart"/>
      <w:r w:rsidRPr="0000134A">
        <w:rPr>
          <w:bCs/>
          <w:sz w:val="24"/>
          <w:szCs w:val="24"/>
        </w:rPr>
        <w:t>proliferatore</w:t>
      </w:r>
      <w:proofErr w:type="spellEnd"/>
      <w:r w:rsidRPr="0000134A">
        <w:rPr>
          <w:bCs/>
          <w:sz w:val="24"/>
          <w:szCs w:val="24"/>
        </w:rPr>
        <w:t xml:space="preserve"> del </w:t>
      </w:r>
      <w:proofErr w:type="spellStart"/>
      <w:r w:rsidRPr="0000134A">
        <w:rPr>
          <w:bCs/>
          <w:sz w:val="24"/>
          <w:szCs w:val="24"/>
        </w:rPr>
        <w:t>perossisoma</w:t>
      </w:r>
      <w:proofErr w:type="spellEnd"/>
      <w:r w:rsidRPr="0000134A">
        <w:rPr>
          <w:bCs/>
          <w:sz w:val="24"/>
          <w:szCs w:val="24"/>
        </w:rPr>
        <w:t xml:space="preserve"> (PPAR</w:t>
      </w:r>
      <w:r w:rsidRPr="0000134A">
        <w:rPr>
          <w:sz w:val="24"/>
          <w:szCs w:val="24"/>
        </w:rPr>
        <w:sym w:font="Symbol" w:char="F067"/>
      </w:r>
      <w:r w:rsidRPr="0000134A">
        <w:rPr>
          <w:bCs/>
          <w:sz w:val="24"/>
          <w:szCs w:val="24"/>
        </w:rPr>
        <w:t>) (per es., un tiazolidinedione), quando è appropriato l’uso di un agonista PPAR</w:t>
      </w:r>
      <w:r w:rsidRPr="0000134A">
        <w:rPr>
          <w:sz w:val="24"/>
          <w:szCs w:val="24"/>
        </w:rPr>
        <w:sym w:font="Symbol" w:char="F067"/>
      </w:r>
      <w:r w:rsidRPr="0000134A">
        <w:rPr>
          <w:bCs/>
          <w:sz w:val="24"/>
          <w:szCs w:val="24"/>
        </w:rPr>
        <w:t xml:space="preserve"> e quando dieta ed esercizio fisico più l’agonista PPAR</w:t>
      </w:r>
      <w:r w:rsidRPr="0000134A">
        <w:rPr>
          <w:sz w:val="24"/>
          <w:szCs w:val="24"/>
        </w:rPr>
        <w:sym w:font="Symbol" w:char="F067"/>
      </w:r>
      <w:r w:rsidRPr="0000134A">
        <w:rPr>
          <w:bCs/>
          <w:sz w:val="24"/>
          <w:szCs w:val="24"/>
        </w:rPr>
        <w:t xml:space="preserve"> da solo non forniscono un adeguato controllo della glicemia.</w:t>
      </w:r>
    </w:p>
    <w:p w14:paraId="155C373C" w14:textId="77777777" w:rsidR="0000134A" w:rsidRPr="0000134A" w:rsidRDefault="0000134A" w:rsidP="0000134A">
      <w:pPr>
        <w:numPr>
          <w:ilvl w:val="12"/>
          <w:numId w:val="0"/>
        </w:numPr>
        <w:spacing w:line="240" w:lineRule="auto"/>
        <w:ind w:right="-2"/>
        <w:rPr>
          <w:bCs/>
          <w:sz w:val="24"/>
          <w:szCs w:val="24"/>
        </w:rPr>
      </w:pPr>
    </w:p>
    <w:p w14:paraId="0BFBF9B8" w14:textId="7EB3628F" w:rsidR="0000134A" w:rsidRPr="0000134A" w:rsidRDefault="0000134A" w:rsidP="0000134A">
      <w:pPr>
        <w:spacing w:line="240" w:lineRule="auto"/>
        <w:ind w:right="-2"/>
        <w:rPr>
          <w:bCs/>
          <w:sz w:val="24"/>
          <w:szCs w:val="24"/>
        </w:rPr>
      </w:pPr>
      <w:r w:rsidRPr="0000134A">
        <w:rPr>
          <w:bCs/>
          <w:sz w:val="24"/>
          <w:szCs w:val="24"/>
        </w:rPr>
        <w:t>in triplice terapia orale in associazione con:</w:t>
      </w:r>
    </w:p>
    <w:p w14:paraId="2A84E20E" w14:textId="059A2DBC" w:rsidR="0000134A" w:rsidRPr="0000134A" w:rsidRDefault="0000134A" w:rsidP="0000134A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  <w:sz w:val="24"/>
          <w:szCs w:val="24"/>
        </w:rPr>
      </w:pPr>
      <w:r w:rsidRPr="0000134A">
        <w:rPr>
          <w:bCs/>
          <w:sz w:val="24"/>
          <w:szCs w:val="24"/>
        </w:rPr>
        <w:t xml:space="preserve">una </w:t>
      </w:r>
      <w:proofErr w:type="spellStart"/>
      <w:r w:rsidRPr="0000134A">
        <w:rPr>
          <w:bCs/>
          <w:sz w:val="24"/>
          <w:szCs w:val="24"/>
        </w:rPr>
        <w:t>sulfonilurea</w:t>
      </w:r>
      <w:proofErr w:type="spellEnd"/>
      <w:r w:rsidRPr="0000134A">
        <w:rPr>
          <w:bCs/>
          <w:sz w:val="24"/>
          <w:szCs w:val="24"/>
        </w:rPr>
        <w:t xml:space="preserve"> e </w:t>
      </w:r>
      <w:proofErr w:type="spellStart"/>
      <w:r w:rsidRPr="0000134A">
        <w:rPr>
          <w:bCs/>
          <w:sz w:val="24"/>
          <w:szCs w:val="24"/>
        </w:rPr>
        <w:t>metformina</w:t>
      </w:r>
      <w:proofErr w:type="spellEnd"/>
      <w:r w:rsidRPr="0000134A">
        <w:rPr>
          <w:bCs/>
          <w:sz w:val="24"/>
          <w:szCs w:val="24"/>
        </w:rPr>
        <w:t>, quando dieta ed esercizio fisico più la duplice terapia con questi medicinali non forniscono un adeguato controllo della glicemia.</w:t>
      </w:r>
    </w:p>
    <w:p w14:paraId="46E10D26" w14:textId="77777777" w:rsidR="0000134A" w:rsidRPr="0000134A" w:rsidRDefault="0000134A" w:rsidP="0000134A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  <w:sz w:val="24"/>
          <w:szCs w:val="24"/>
        </w:rPr>
      </w:pPr>
      <w:r w:rsidRPr="0000134A">
        <w:rPr>
          <w:bCs/>
          <w:sz w:val="24"/>
          <w:szCs w:val="24"/>
        </w:rPr>
        <w:t>un agonista PPAR</w:t>
      </w:r>
      <w:r w:rsidRPr="0000134A">
        <w:rPr>
          <w:sz w:val="24"/>
          <w:szCs w:val="24"/>
        </w:rPr>
        <w:sym w:font="Symbol" w:char="F067"/>
      </w:r>
      <w:r w:rsidRPr="0000134A">
        <w:rPr>
          <w:bCs/>
          <w:sz w:val="24"/>
          <w:szCs w:val="24"/>
        </w:rPr>
        <w:t xml:space="preserve"> e metformina, quando è appropriato l’uso di un agonista PPAR</w:t>
      </w:r>
      <w:r w:rsidRPr="0000134A">
        <w:rPr>
          <w:sz w:val="24"/>
          <w:szCs w:val="24"/>
        </w:rPr>
        <w:sym w:font="Symbol" w:char="F067"/>
      </w:r>
      <w:r w:rsidRPr="0000134A">
        <w:rPr>
          <w:bCs/>
          <w:sz w:val="24"/>
          <w:szCs w:val="24"/>
        </w:rPr>
        <w:t xml:space="preserve"> e quando dieta ed esercizio fisico più la duplice terapia con questi medicinali non forniscono un adeguato controllo della glicemia.</w:t>
      </w:r>
    </w:p>
    <w:p w14:paraId="42C25162" w14:textId="77777777" w:rsidR="0000134A" w:rsidRPr="0000134A" w:rsidRDefault="0000134A" w:rsidP="0000134A">
      <w:pPr>
        <w:numPr>
          <w:ilvl w:val="12"/>
          <w:numId w:val="0"/>
        </w:numPr>
        <w:spacing w:line="240" w:lineRule="auto"/>
        <w:ind w:right="-2"/>
        <w:rPr>
          <w:bCs/>
          <w:sz w:val="24"/>
          <w:szCs w:val="24"/>
        </w:rPr>
      </w:pPr>
    </w:p>
    <w:p w14:paraId="52243351" w14:textId="02236A1C" w:rsidR="00CC52A3" w:rsidRPr="0000134A" w:rsidRDefault="0000134A" w:rsidP="0000134A">
      <w:pPr>
        <w:numPr>
          <w:ilvl w:val="12"/>
          <w:numId w:val="0"/>
        </w:numPr>
        <w:spacing w:line="240" w:lineRule="auto"/>
        <w:ind w:right="-2"/>
        <w:rPr>
          <w:bCs/>
          <w:sz w:val="24"/>
          <w:szCs w:val="24"/>
        </w:rPr>
      </w:pPr>
      <w:proofErr w:type="spellStart"/>
      <w:r w:rsidRPr="0000134A">
        <w:rPr>
          <w:bCs/>
          <w:sz w:val="24"/>
          <w:szCs w:val="24"/>
        </w:rPr>
        <w:t>Sitagliptin</w:t>
      </w:r>
      <w:proofErr w:type="spellEnd"/>
      <w:r w:rsidRPr="0000134A">
        <w:rPr>
          <w:bCs/>
          <w:sz w:val="24"/>
          <w:szCs w:val="24"/>
        </w:rPr>
        <w:t xml:space="preserve"> Abdi è anche indicato come terapia aggiuntiva all’insulina (con o senza metformina), quando dieta ed esercizio fisico più una dose stabile di insulina non forniscono un adeguato controllo della glicemia.</w:t>
      </w:r>
    </w:p>
    <w:p w14:paraId="51D194AC" w14:textId="1B0E7EAE" w:rsidR="0042214D" w:rsidRPr="00A31CC1" w:rsidRDefault="0042214D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richiesta di AIC è supportata da uno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che ha confrontato i profili farmacocinetici del medicinale test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quelli del medicinale di riferimento </w:t>
      </w:r>
      <w:proofErr w:type="spellStart"/>
      <w:r w:rsidR="0000134A">
        <w:rPr>
          <w:rFonts w:cstheme="minorHAnsi"/>
          <w:sz w:val="24"/>
          <w:szCs w:val="24"/>
        </w:rPr>
        <w:t>Januvia</w:t>
      </w:r>
      <w:proofErr w:type="spellEnd"/>
      <w:r w:rsidRPr="00A31CC1">
        <w:rPr>
          <w:rFonts w:cstheme="minorHAnsi"/>
          <w:sz w:val="24"/>
          <w:szCs w:val="24"/>
        </w:rPr>
        <w:t xml:space="preserve"> autorizzato in Italia</w:t>
      </w:r>
      <w:r w:rsidR="00F16316">
        <w:rPr>
          <w:rFonts w:cstheme="minorHAnsi"/>
          <w:sz w:val="24"/>
          <w:szCs w:val="24"/>
        </w:rPr>
        <w:t>, nel dosaggio da 100 mg</w:t>
      </w:r>
      <w:r w:rsidRPr="00A31CC1">
        <w:rPr>
          <w:rFonts w:cstheme="minorHAnsi"/>
          <w:sz w:val="24"/>
          <w:szCs w:val="24"/>
        </w:rPr>
        <w:t>.</w:t>
      </w:r>
    </w:p>
    <w:p w14:paraId="70417A0D" w14:textId="2C5EA216" w:rsidR="0042214D" w:rsidRPr="00A31CC1" w:rsidRDefault="0042214D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è stato condotto in conformità alle linee guida di Buona Pratica Clinica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</w:t>
      </w:r>
      <w:proofErr w:type="spellStart"/>
      <w:r w:rsidRPr="00A31CC1">
        <w:rPr>
          <w:rFonts w:cstheme="minorHAnsi"/>
          <w:i/>
          <w:sz w:val="24"/>
          <w:szCs w:val="24"/>
        </w:rPr>
        <w:t>Clinical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GCP).</w:t>
      </w:r>
    </w:p>
    <w:p w14:paraId="009EFB32" w14:textId="6000A010" w:rsidR="00983038" w:rsidRPr="00983038" w:rsidRDefault="00983038" w:rsidP="0098303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A37E4">
        <w:rPr>
          <w:rFonts w:cstheme="minorHAnsi"/>
          <w:sz w:val="24"/>
          <w:szCs w:val="24"/>
        </w:rPr>
        <w:t xml:space="preserve">Per i dosaggi da </w:t>
      </w:r>
      <w:r w:rsidR="00006840" w:rsidRPr="005A37E4">
        <w:rPr>
          <w:rFonts w:cstheme="minorHAnsi"/>
          <w:sz w:val="24"/>
          <w:szCs w:val="24"/>
        </w:rPr>
        <w:t>25 mg e 50 mg</w:t>
      </w:r>
      <w:r w:rsidRPr="005A37E4">
        <w:rPr>
          <w:rFonts w:cstheme="minorHAnsi"/>
          <w:sz w:val="24"/>
          <w:szCs w:val="24"/>
        </w:rPr>
        <w:t xml:space="preserve"> è stata dimostrata l’equivalenza farmaceutica tramite studi comparativi</w:t>
      </w:r>
      <w:r w:rsidR="006B45FF">
        <w:rPr>
          <w:rFonts w:cstheme="minorHAnsi"/>
          <w:sz w:val="24"/>
          <w:szCs w:val="24"/>
        </w:rPr>
        <w:t xml:space="preserve">, </w:t>
      </w:r>
      <w:r w:rsidRPr="005A37E4">
        <w:rPr>
          <w:rFonts w:cstheme="minorHAnsi"/>
          <w:sz w:val="24"/>
          <w:szCs w:val="24"/>
        </w:rPr>
        <w:t>in accordo alle linee guida applicabili</w:t>
      </w:r>
      <w:r w:rsidR="00006840" w:rsidRPr="005A37E4">
        <w:rPr>
          <w:rFonts w:cstheme="minorHAnsi"/>
          <w:sz w:val="24"/>
          <w:szCs w:val="24"/>
        </w:rPr>
        <w:t>.</w:t>
      </w:r>
    </w:p>
    <w:p w14:paraId="1DB56BD5" w14:textId="77777777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Manufacturing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5612D64" w14:textId="349C5BFC" w:rsidR="00B862CA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Il sistema di Farmacovigilanza descritto dal titolare dell’AIC è conforme ai requisiti previsti dalla normativa corrente. E’ stato presentato un Piano di gestione del rischio (</w:t>
      </w:r>
      <w:r w:rsidRPr="00A31CC1">
        <w:rPr>
          <w:rFonts w:cstheme="minorHAnsi"/>
          <w:i/>
          <w:sz w:val="24"/>
          <w:szCs w:val="24"/>
        </w:rPr>
        <w:t>Risk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  <w:r w:rsidR="00F964BE" w:rsidRPr="00A31CC1">
        <w:rPr>
          <w:rFonts w:cstheme="minorHAnsi"/>
          <w:sz w:val="24"/>
          <w:szCs w:val="24"/>
        </w:rPr>
        <w:t xml:space="preserve"> </w:t>
      </w:r>
    </w:p>
    <w:p w14:paraId="4CCD6095" w14:textId="77777777"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D742D02" w14:textId="6353DB52" w:rsidR="00A046AC" w:rsidRPr="00A31CC1" w:rsidRDefault="00A046AC" w:rsidP="00A046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D4C6B">
        <w:rPr>
          <w:rFonts w:cstheme="minorHAnsi"/>
          <w:sz w:val="24"/>
          <w:szCs w:val="24"/>
        </w:rPr>
        <w:t xml:space="preserve">Il titolare di AIC ha presentato una adeguata documentazione relativa alla valutazione del rischio ambientale </w:t>
      </w:r>
      <w:r w:rsidRPr="006D4C6B">
        <w:rPr>
          <w:rFonts w:eastAsia="Calibri" w:cstheme="minorHAnsi"/>
          <w:color w:val="000000"/>
          <w:sz w:val="24"/>
          <w:szCs w:val="24"/>
          <w:lang w:eastAsia="it-IT"/>
        </w:rPr>
        <w:t>da cui si evince c</w:t>
      </w:r>
      <w:r w:rsidR="004F343B" w:rsidRPr="006D4C6B">
        <w:rPr>
          <w:rFonts w:eastAsia="Calibri" w:cstheme="minorHAnsi"/>
          <w:color w:val="000000"/>
          <w:sz w:val="24"/>
          <w:szCs w:val="24"/>
          <w:lang w:eastAsia="it-IT"/>
        </w:rPr>
        <w:t>he l’immissione in commercio di</w:t>
      </w:r>
      <w:r w:rsidRPr="006D4C6B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7181B" w:rsidRPr="006D4C6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Pr="006D4C6B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contenente </w:t>
      </w:r>
      <w:proofErr w:type="spellStart"/>
      <w:r w:rsidR="00006840" w:rsidRPr="006D4C6B">
        <w:rPr>
          <w:rFonts w:eastAsia="Calibri" w:cstheme="minorHAnsi"/>
          <w:color w:val="000000"/>
          <w:sz w:val="24"/>
          <w:szCs w:val="24"/>
          <w:lang w:eastAsia="it-IT"/>
        </w:rPr>
        <w:t>sitagliptin</w:t>
      </w:r>
      <w:proofErr w:type="spellEnd"/>
      <w:r w:rsidR="00A03645" w:rsidRPr="006D4C6B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6D4C6B">
        <w:rPr>
          <w:rFonts w:eastAsia="Calibri" w:cstheme="minorHAnsi"/>
          <w:color w:val="000000"/>
          <w:sz w:val="24"/>
          <w:szCs w:val="24"/>
          <w:lang w:eastAsia="it-IT"/>
        </w:rPr>
        <w:t>nella formulazione proposta non comporta rischi per l’ambiente.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</w:p>
    <w:p w14:paraId="7862CD59" w14:textId="49B6FCFC" w:rsidR="00747E46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C14311B" w14:textId="77777777" w:rsidR="00287A38" w:rsidRPr="00A31CC1" w:rsidRDefault="00287A3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03F04293" w14:textId="21AD7E26" w:rsidR="00CF3EA2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II.1 PRINCIPIO ATTIVO </w:t>
      </w:r>
      <w:r w:rsidR="00CF3EA2" w:rsidRPr="00CF3EA2">
        <w:rPr>
          <w:rFonts w:cstheme="minorHAnsi"/>
          <w:b/>
          <w:sz w:val="24"/>
          <w:szCs w:val="24"/>
        </w:rPr>
        <w:t xml:space="preserve">SITAGLIPTIN </w:t>
      </w:r>
      <w:r w:rsidR="00CF3EA2">
        <w:rPr>
          <w:rFonts w:cstheme="minorHAnsi"/>
          <w:b/>
          <w:sz w:val="24"/>
          <w:szCs w:val="24"/>
        </w:rPr>
        <w:t>CLORIDRATO MONOIDRATO</w:t>
      </w:r>
      <w:r w:rsidR="00CF3EA2" w:rsidRPr="00CF3EA2" w:rsidDel="00CF3EA2">
        <w:rPr>
          <w:rFonts w:cstheme="minorHAnsi"/>
          <w:b/>
          <w:sz w:val="24"/>
          <w:szCs w:val="24"/>
        </w:rPr>
        <w:t xml:space="preserve"> </w:t>
      </w:r>
    </w:p>
    <w:p w14:paraId="791ABD6C" w14:textId="77777777" w:rsidR="004C3C52" w:rsidRDefault="00B51571" w:rsidP="00CF3EA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Denominazione</w:t>
      </w:r>
      <w:r w:rsidR="004E5A39" w:rsidRPr="00A31CC1">
        <w:rPr>
          <w:rFonts w:cstheme="minorHAnsi"/>
          <w:sz w:val="24"/>
          <w:szCs w:val="24"/>
          <w:u w:val="single"/>
        </w:rPr>
        <w:t xml:space="preserve"> chimico</w:t>
      </w:r>
      <w:r w:rsidR="00CF3EA2" w:rsidRPr="00CF3EA2">
        <w:rPr>
          <w:rFonts w:cstheme="minorHAnsi"/>
          <w:sz w:val="24"/>
          <w:szCs w:val="24"/>
        </w:rPr>
        <w:t>:</w:t>
      </w:r>
      <w:r w:rsidR="006D4C6B">
        <w:rPr>
          <w:rFonts w:cstheme="minorHAnsi"/>
          <w:sz w:val="24"/>
          <w:szCs w:val="24"/>
        </w:rPr>
        <w:t xml:space="preserve"> </w:t>
      </w:r>
    </w:p>
    <w:p w14:paraId="2ABEAEF0" w14:textId="11E1C87B" w:rsidR="00CF3EA2" w:rsidRDefault="00CF3EA2" w:rsidP="00CF3EA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F3EA2">
        <w:rPr>
          <w:rFonts w:cstheme="minorHAnsi"/>
          <w:sz w:val="24"/>
          <w:szCs w:val="24"/>
        </w:rPr>
        <w:lastRenderedPageBreak/>
        <w:t xml:space="preserve">(3R)-3-Amino-1-[3-(trifluoromethyl)-6,8-dihydro-5H-[1,2,4]triazolo[4,3-a]pyrazine-7-yl]-4-(2,4,5-trifluorophenyl)butane-1-one;hydrochloride </w:t>
      </w:r>
      <w:proofErr w:type="spellStart"/>
      <w:r w:rsidRPr="00CF3EA2">
        <w:rPr>
          <w:rFonts w:cstheme="minorHAnsi"/>
          <w:sz w:val="24"/>
          <w:szCs w:val="24"/>
        </w:rPr>
        <w:t>Monohydrate</w:t>
      </w:r>
      <w:proofErr w:type="spellEnd"/>
    </w:p>
    <w:p w14:paraId="1DD4CE0F" w14:textId="4F35EB6B" w:rsidR="004C3C52" w:rsidRDefault="004C3C52" w:rsidP="00CF3EA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C3C52">
        <w:rPr>
          <w:rFonts w:cstheme="minorHAnsi"/>
          <w:sz w:val="24"/>
          <w:szCs w:val="24"/>
        </w:rPr>
        <w:t>(3R)-3-Amino-1-[3-(trifluoromethyl)-6,8-dihydro-5H-[1,2,4]triazolo[4,3-a]pyrazin-7-yl]-4-(2,4,5-trifluorophenyl)butan-1-one;hydrochloride</w:t>
      </w:r>
    </w:p>
    <w:p w14:paraId="6295351F" w14:textId="77777777" w:rsidR="004C3C52" w:rsidRPr="00A31CC1" w:rsidRDefault="004C3C52" w:rsidP="00CF3EA2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736745F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Struttura</w:t>
      </w:r>
      <w:r w:rsidRPr="00A31CC1">
        <w:rPr>
          <w:rFonts w:cstheme="minorHAnsi"/>
          <w:sz w:val="24"/>
          <w:szCs w:val="24"/>
        </w:rPr>
        <w:t>:</w:t>
      </w:r>
    </w:p>
    <w:p w14:paraId="5BF4CDC8" w14:textId="69310D0B" w:rsidR="004E5A39" w:rsidRPr="006D4C6B" w:rsidRDefault="00CF3EA2" w:rsidP="00265B61">
      <w:pPr>
        <w:spacing w:after="0" w:line="240" w:lineRule="auto"/>
        <w:jc w:val="center"/>
        <w:rPr>
          <w:rFonts w:cstheme="minorHAnsi"/>
          <w:b/>
          <w:i/>
          <w:noProof/>
          <w:sz w:val="24"/>
          <w:szCs w:val="24"/>
          <w:lang w:eastAsia="it-IT"/>
        </w:rPr>
      </w:pPr>
      <w:r w:rsidRPr="006D4C6B">
        <w:rPr>
          <w:rFonts w:cstheme="minorHAnsi"/>
          <w:b/>
          <w:i/>
          <w:noProof/>
          <w:sz w:val="24"/>
          <w:szCs w:val="24"/>
          <w:lang w:eastAsia="it-IT"/>
        </w:rPr>
        <w:drawing>
          <wp:inline distT="0" distB="0" distL="0" distR="0" wp14:anchorId="7DBDF8D5" wp14:editId="09A5B163">
            <wp:extent cx="3103245" cy="1243965"/>
            <wp:effectExtent l="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874799" w14:textId="77777777" w:rsidR="004E5A39" w:rsidRPr="006D4C6B" w:rsidRDefault="004E5A39" w:rsidP="00EF6711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5D29F89" w14:textId="7A42FDD9" w:rsidR="004E5A39" w:rsidRPr="006D4C6B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D4C6B">
        <w:rPr>
          <w:rFonts w:cstheme="minorHAnsi"/>
          <w:sz w:val="24"/>
          <w:szCs w:val="24"/>
          <w:u w:val="single"/>
        </w:rPr>
        <w:t>Formula molecolare</w:t>
      </w:r>
      <w:r w:rsidRPr="006D4C6B">
        <w:rPr>
          <w:rFonts w:cstheme="minorHAnsi"/>
          <w:sz w:val="24"/>
          <w:szCs w:val="24"/>
        </w:rPr>
        <w:t>:</w:t>
      </w:r>
      <w:r w:rsidR="004C3C52" w:rsidRPr="004C3C52">
        <w:rPr>
          <w:sz w:val="24"/>
          <w:szCs w:val="24"/>
          <w:lang w:val="pt-PT" w:eastAsia="pt-PT"/>
        </w:rPr>
        <w:t xml:space="preserve"> </w:t>
      </w:r>
      <w:r w:rsidR="004C3C52" w:rsidRPr="00004487">
        <w:rPr>
          <w:sz w:val="24"/>
          <w:szCs w:val="24"/>
          <w:lang w:val="pt-PT" w:eastAsia="pt-PT"/>
        </w:rPr>
        <w:t>C</w:t>
      </w:r>
      <w:r w:rsidR="004C3C52" w:rsidRPr="00004487">
        <w:rPr>
          <w:sz w:val="16"/>
          <w:szCs w:val="16"/>
          <w:lang w:val="pt-PT" w:eastAsia="pt-PT"/>
        </w:rPr>
        <w:t>16</w:t>
      </w:r>
      <w:r w:rsidR="004C3C52" w:rsidRPr="00004487">
        <w:rPr>
          <w:sz w:val="24"/>
          <w:szCs w:val="24"/>
          <w:lang w:val="pt-PT" w:eastAsia="pt-PT"/>
        </w:rPr>
        <w:t>H</w:t>
      </w:r>
      <w:r w:rsidR="004C3C52" w:rsidRPr="00004487">
        <w:rPr>
          <w:sz w:val="16"/>
          <w:szCs w:val="16"/>
          <w:lang w:val="pt-PT" w:eastAsia="pt-PT"/>
        </w:rPr>
        <w:t>18</w:t>
      </w:r>
      <w:r w:rsidR="004C3C52" w:rsidRPr="00004487">
        <w:rPr>
          <w:sz w:val="24"/>
          <w:szCs w:val="24"/>
          <w:lang w:val="pt-PT" w:eastAsia="pt-PT"/>
        </w:rPr>
        <w:t>ClF</w:t>
      </w:r>
      <w:r w:rsidR="004C3C52" w:rsidRPr="00004487">
        <w:rPr>
          <w:sz w:val="16"/>
          <w:szCs w:val="16"/>
          <w:lang w:val="pt-PT" w:eastAsia="pt-PT"/>
        </w:rPr>
        <w:t>6</w:t>
      </w:r>
      <w:r w:rsidR="004C3C52" w:rsidRPr="00004487">
        <w:rPr>
          <w:sz w:val="24"/>
          <w:szCs w:val="24"/>
          <w:lang w:val="pt-PT" w:eastAsia="pt-PT"/>
        </w:rPr>
        <w:t>N</w:t>
      </w:r>
      <w:r w:rsidR="004C3C52" w:rsidRPr="00004487">
        <w:rPr>
          <w:sz w:val="16"/>
          <w:szCs w:val="16"/>
          <w:lang w:val="pt-PT" w:eastAsia="pt-PT"/>
        </w:rPr>
        <w:t>5</w:t>
      </w:r>
      <w:r w:rsidR="004C3C52" w:rsidRPr="00004487">
        <w:rPr>
          <w:sz w:val="24"/>
          <w:szCs w:val="24"/>
          <w:lang w:val="pt-PT" w:eastAsia="pt-PT"/>
        </w:rPr>
        <w:t>O</w:t>
      </w:r>
      <w:r w:rsidR="004C3C52" w:rsidRPr="00004487">
        <w:rPr>
          <w:sz w:val="16"/>
          <w:szCs w:val="16"/>
          <w:lang w:val="pt-PT" w:eastAsia="pt-PT"/>
        </w:rPr>
        <w:t>2</w:t>
      </w:r>
    </w:p>
    <w:p w14:paraId="6C3F1446" w14:textId="7E35DAF6" w:rsidR="004E5A39" w:rsidRPr="006D4C6B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D4C6B">
        <w:rPr>
          <w:rFonts w:cstheme="minorHAnsi"/>
          <w:sz w:val="24"/>
          <w:szCs w:val="24"/>
          <w:u w:val="single"/>
        </w:rPr>
        <w:t>Peso molecolare</w:t>
      </w:r>
      <w:r w:rsidRPr="006D4C6B">
        <w:rPr>
          <w:rFonts w:cstheme="minorHAnsi"/>
          <w:sz w:val="24"/>
          <w:szCs w:val="24"/>
        </w:rPr>
        <w:t>:</w:t>
      </w:r>
      <w:r w:rsidRPr="006D4C6B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4C3C52" w:rsidRPr="004C3C52">
        <w:rPr>
          <w:rFonts w:cstheme="minorHAnsi"/>
          <w:color w:val="252525"/>
          <w:sz w:val="24"/>
          <w:szCs w:val="24"/>
          <w:shd w:val="clear" w:color="auto" w:fill="F9F9F9"/>
        </w:rPr>
        <w:t>461.78</w:t>
      </w:r>
      <w:r w:rsidR="009A23DE" w:rsidRPr="006D4C6B">
        <w:rPr>
          <w:rFonts w:cstheme="minorHAnsi"/>
          <w:sz w:val="24"/>
          <w:szCs w:val="24"/>
        </w:rPr>
        <w:t xml:space="preserve"> </w:t>
      </w:r>
      <w:r w:rsidRPr="006D4C6B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6D4C6B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14:paraId="4AF9A289" w14:textId="2F212A24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D4C6B">
        <w:rPr>
          <w:rFonts w:cstheme="minorHAnsi"/>
          <w:sz w:val="24"/>
          <w:szCs w:val="24"/>
          <w:u w:val="single"/>
        </w:rPr>
        <w:t>CAS</w:t>
      </w:r>
      <w:r w:rsidRPr="006D4C6B">
        <w:rPr>
          <w:rFonts w:cstheme="minorHAnsi"/>
          <w:sz w:val="24"/>
          <w:szCs w:val="24"/>
        </w:rPr>
        <w:t xml:space="preserve">: </w:t>
      </w:r>
      <w:r w:rsidR="00CC52A3" w:rsidRPr="006D4C6B">
        <w:rPr>
          <w:rFonts w:cstheme="minorHAnsi"/>
          <w:sz w:val="24"/>
          <w:szCs w:val="24"/>
        </w:rPr>
        <w:t>[</w:t>
      </w:r>
      <w:r w:rsidR="00B47E20" w:rsidRPr="00004487">
        <w:rPr>
          <w:sz w:val="24"/>
          <w:szCs w:val="24"/>
          <w:lang w:val="en-US" w:eastAsia="pt-PT"/>
        </w:rPr>
        <w:t>486460-32-6</w:t>
      </w:r>
      <w:r w:rsidR="00CC52A3" w:rsidRPr="006D4C6B">
        <w:rPr>
          <w:rFonts w:cstheme="minorHAnsi"/>
          <w:sz w:val="24"/>
          <w:szCs w:val="24"/>
        </w:rPr>
        <w:t>]</w:t>
      </w:r>
    </w:p>
    <w:p w14:paraId="44248F9E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9A66FE6" w14:textId="77777777" w:rsidR="00E207B1" w:rsidRDefault="00E207B1" w:rsidP="00EF6711">
      <w:pPr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5995DA63" w14:textId="453A3B45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principio attivo non è presente in Farmacopea Europea; il produttore ha presentato </w:t>
      </w:r>
      <w:r w:rsidR="00435039">
        <w:rPr>
          <w:rFonts w:cstheme="minorHAnsi"/>
          <w:sz w:val="24"/>
          <w:szCs w:val="24"/>
        </w:rPr>
        <w:t xml:space="preserve">la documentazione sotto forma di Active </w:t>
      </w:r>
      <w:proofErr w:type="spellStart"/>
      <w:r w:rsidR="00435039">
        <w:rPr>
          <w:rFonts w:cstheme="minorHAnsi"/>
          <w:sz w:val="24"/>
          <w:szCs w:val="24"/>
        </w:rPr>
        <w:t>Substance</w:t>
      </w:r>
      <w:proofErr w:type="spellEnd"/>
      <w:r w:rsidR="00435039">
        <w:rPr>
          <w:rFonts w:cstheme="minorHAnsi"/>
          <w:sz w:val="24"/>
          <w:szCs w:val="24"/>
        </w:rPr>
        <w:t xml:space="preserve"> Master File</w:t>
      </w:r>
      <w:r w:rsidRPr="00A31CC1">
        <w:rPr>
          <w:rFonts w:cstheme="minorHAnsi"/>
          <w:sz w:val="24"/>
          <w:szCs w:val="24"/>
        </w:rPr>
        <w:t xml:space="preserve"> </w:t>
      </w:r>
      <w:r w:rsidR="00435039">
        <w:rPr>
          <w:rFonts w:cstheme="minorHAnsi"/>
          <w:sz w:val="24"/>
          <w:szCs w:val="24"/>
        </w:rPr>
        <w:t>(</w:t>
      </w:r>
      <w:r w:rsidRPr="00A31CC1">
        <w:rPr>
          <w:rFonts w:cstheme="minorHAnsi"/>
          <w:sz w:val="24"/>
          <w:szCs w:val="24"/>
        </w:rPr>
        <w:t>ASMF</w:t>
      </w:r>
      <w:proofErr w:type="gramStart"/>
      <w:r w:rsidR="00435039">
        <w:rPr>
          <w:rFonts w:cstheme="minorHAnsi"/>
          <w:sz w:val="24"/>
          <w:szCs w:val="24"/>
        </w:rPr>
        <w:t>).</w:t>
      </w:r>
      <w:r w:rsidRPr="00A31CC1">
        <w:rPr>
          <w:rFonts w:cstheme="minorHAnsi"/>
          <w:sz w:val="24"/>
          <w:szCs w:val="24"/>
        </w:rPr>
        <w:t>.</w:t>
      </w:r>
      <w:proofErr w:type="gramEnd"/>
      <w:r w:rsidRPr="00A31CC1">
        <w:rPr>
          <w:rFonts w:cstheme="minorHAnsi"/>
          <w:sz w:val="24"/>
          <w:szCs w:val="24"/>
        </w:rPr>
        <w:t xml:space="preserve"> </w:t>
      </w:r>
    </w:p>
    <w:p w14:paraId="64E7F2E3" w14:textId="77777777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La sintesi del principio attivo è stata adeguatamente descritta a partire da idonei materiali di partenza; sono utilizzati appropriati controlli di processo e intermedi di sintesi.</w:t>
      </w:r>
    </w:p>
    <w:p w14:paraId="2BDF02DB" w14:textId="77777777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specifiche del principio attivo sono appropriate e controllate con metodi analitici adeguatamente convalidati. Sono stati forniti certificati analitici che confermano la qualità del principio attivo.</w:t>
      </w:r>
    </w:p>
    <w:p w14:paraId="257D5A03" w14:textId="25292403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F2DF62" w14:textId="16935178" w:rsidR="00265B61" w:rsidRPr="00A31CC1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adeguati studi di stabilità per il principio attivo</w:t>
      </w:r>
      <w:r w:rsidR="00435039">
        <w:rPr>
          <w:rFonts w:cstheme="minorHAnsi"/>
          <w:sz w:val="24"/>
          <w:szCs w:val="24"/>
        </w:rPr>
        <w:t>.</w:t>
      </w:r>
      <w:r w:rsidRPr="00A31CC1">
        <w:rPr>
          <w:rFonts w:cstheme="minorHAnsi"/>
          <w:sz w:val="24"/>
          <w:szCs w:val="24"/>
        </w:rPr>
        <w:t xml:space="preserve"> </w:t>
      </w:r>
    </w:p>
    <w:p w14:paraId="04709895" w14:textId="77777777" w:rsidR="00B30431" w:rsidRPr="00A31CC1" w:rsidRDefault="00B30431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1BAA5F" w14:textId="77777777" w:rsidR="000B7AC8" w:rsidRPr="00A31CC1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Descrizione e composizione</w:t>
      </w:r>
    </w:p>
    <w:p w14:paraId="01903412" w14:textId="18388571" w:rsidR="00BA77AD" w:rsidRDefault="0067181B" w:rsidP="00BA77A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0B7AC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</w:t>
      </w:r>
      <w:r w:rsidR="00BA77AD">
        <w:rPr>
          <w:rFonts w:eastAsia="Calibri" w:cstheme="minorHAnsi"/>
          <w:color w:val="000000"/>
          <w:sz w:val="24"/>
          <w:szCs w:val="24"/>
          <w:lang w:eastAsia="it-IT"/>
        </w:rPr>
        <w:t>nei seguenti dosaggi:</w:t>
      </w:r>
      <w:r w:rsidR="00BA77AD" w:rsidRPr="00BA77AD">
        <w:rPr>
          <w:rFonts w:eastAsia="Calibri" w:cstheme="minorHAnsi"/>
          <w:color w:val="000000"/>
          <w:sz w:val="24"/>
          <w:szCs w:val="24"/>
          <w:lang w:eastAsia="it-IT"/>
        </w:rPr>
        <w:tab/>
      </w:r>
    </w:p>
    <w:p w14:paraId="492D657D" w14:textId="0EA596A0" w:rsidR="00BA77AD" w:rsidRPr="00BA77AD" w:rsidRDefault="00BA77AD" w:rsidP="00BA77A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spellStart"/>
      <w:r w:rsidRPr="00BA77AD">
        <w:rPr>
          <w:rFonts w:eastAsia="Calibri" w:cstheme="minorHAnsi"/>
          <w:color w:val="000000"/>
          <w:sz w:val="24"/>
          <w:szCs w:val="24"/>
          <w:lang w:eastAsia="it-IT"/>
        </w:rPr>
        <w:t>Sitagliptin</w:t>
      </w:r>
      <w:proofErr w:type="spellEnd"/>
      <w:r w:rsidRPr="00BA77AD">
        <w:rPr>
          <w:rFonts w:eastAsia="Calibri" w:cstheme="minorHAnsi"/>
          <w:color w:val="000000"/>
          <w:sz w:val="24"/>
          <w:szCs w:val="24"/>
          <w:lang w:eastAsia="it-IT"/>
        </w:rPr>
        <w:t xml:space="preserve"> Abdi 25 mg compresse rivestite con film </w:t>
      </w:r>
    </w:p>
    <w:p w14:paraId="6D9B41AD" w14:textId="2F67E5DE" w:rsidR="00BA77AD" w:rsidRPr="00BA77AD" w:rsidRDefault="00BA77AD" w:rsidP="00BA77A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spellStart"/>
      <w:r w:rsidRPr="00BA77AD">
        <w:rPr>
          <w:rFonts w:eastAsia="Calibri" w:cstheme="minorHAnsi"/>
          <w:color w:val="000000"/>
          <w:sz w:val="24"/>
          <w:szCs w:val="24"/>
          <w:lang w:eastAsia="it-IT"/>
        </w:rPr>
        <w:t>Sitagliptin</w:t>
      </w:r>
      <w:proofErr w:type="spellEnd"/>
      <w:r w:rsidRPr="00BA77AD">
        <w:rPr>
          <w:rFonts w:eastAsia="Calibri" w:cstheme="minorHAnsi"/>
          <w:color w:val="000000"/>
          <w:sz w:val="24"/>
          <w:szCs w:val="24"/>
          <w:lang w:eastAsia="it-IT"/>
        </w:rPr>
        <w:t xml:space="preserve"> Abdi 50 mg compresse rivestite con film </w:t>
      </w:r>
    </w:p>
    <w:p w14:paraId="78337ECF" w14:textId="3FEA42C0" w:rsidR="00BA77AD" w:rsidRPr="00BA77AD" w:rsidRDefault="00BA77AD" w:rsidP="00BA77A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spellStart"/>
      <w:r w:rsidRPr="00BA77AD">
        <w:rPr>
          <w:rFonts w:eastAsia="Calibri" w:cstheme="minorHAnsi"/>
          <w:color w:val="000000"/>
          <w:sz w:val="24"/>
          <w:szCs w:val="24"/>
          <w:lang w:eastAsia="it-IT"/>
        </w:rPr>
        <w:t>Sitagliptin</w:t>
      </w:r>
      <w:proofErr w:type="spellEnd"/>
      <w:r w:rsidRPr="00BA77AD">
        <w:rPr>
          <w:rFonts w:eastAsia="Calibri" w:cstheme="minorHAnsi"/>
          <w:color w:val="000000"/>
          <w:sz w:val="24"/>
          <w:szCs w:val="24"/>
          <w:lang w:eastAsia="it-IT"/>
        </w:rPr>
        <w:t xml:space="preserve"> Abdi 100 mg compresse rivestite con film</w:t>
      </w:r>
    </w:p>
    <w:p w14:paraId="05FCED9C" w14:textId="77777777" w:rsid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4AA445" w14:textId="6926AB36" w:rsidR="00BA77AD" w:rsidRDefault="004E5A39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Gli eccipienti sono</w:t>
      </w:r>
      <w:r w:rsidR="00BA77AD">
        <w:rPr>
          <w:rFonts w:cstheme="minorHAnsi"/>
          <w:sz w:val="24"/>
          <w:szCs w:val="24"/>
        </w:rPr>
        <w:t xml:space="preserve"> i seguenti:</w:t>
      </w:r>
      <w:r w:rsidR="00BA77AD" w:rsidRPr="00BA77AD">
        <w:rPr>
          <w:rFonts w:cstheme="minorHAnsi"/>
          <w:sz w:val="24"/>
          <w:szCs w:val="24"/>
        </w:rPr>
        <w:tab/>
      </w:r>
    </w:p>
    <w:p w14:paraId="66193156" w14:textId="467A5639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>Nucleo della compressa:</w:t>
      </w:r>
    </w:p>
    <w:p w14:paraId="6F869EE9" w14:textId="77777777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ab/>
        <w:t>Cellulosa microcristallina</w:t>
      </w:r>
    </w:p>
    <w:p w14:paraId="1A8B355A" w14:textId="77777777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ab/>
        <w:t>calcio idrogeno fosfato (Anidro)</w:t>
      </w:r>
    </w:p>
    <w:p w14:paraId="698A75F7" w14:textId="77777777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ab/>
      </w:r>
      <w:proofErr w:type="spellStart"/>
      <w:r w:rsidRPr="00BA77AD">
        <w:rPr>
          <w:rFonts w:cstheme="minorHAnsi"/>
          <w:sz w:val="24"/>
          <w:szCs w:val="24"/>
        </w:rPr>
        <w:t>Croscarmellosa</w:t>
      </w:r>
      <w:proofErr w:type="spellEnd"/>
      <w:r w:rsidRPr="00BA77AD">
        <w:rPr>
          <w:rFonts w:cstheme="minorHAnsi"/>
          <w:sz w:val="24"/>
          <w:szCs w:val="24"/>
        </w:rPr>
        <w:t xml:space="preserve"> sodica</w:t>
      </w:r>
    </w:p>
    <w:p w14:paraId="7FDC6E60" w14:textId="77777777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ab/>
        <w:t xml:space="preserve">Sodio </w:t>
      </w:r>
      <w:proofErr w:type="spellStart"/>
      <w:r w:rsidRPr="00BA77AD">
        <w:rPr>
          <w:rFonts w:cstheme="minorHAnsi"/>
          <w:sz w:val="24"/>
          <w:szCs w:val="24"/>
        </w:rPr>
        <w:t>stearil</w:t>
      </w:r>
      <w:proofErr w:type="spellEnd"/>
      <w:r w:rsidRPr="00BA77AD">
        <w:rPr>
          <w:rFonts w:cstheme="minorHAnsi"/>
          <w:sz w:val="24"/>
          <w:szCs w:val="24"/>
        </w:rPr>
        <w:t xml:space="preserve"> </w:t>
      </w:r>
      <w:proofErr w:type="spellStart"/>
      <w:r w:rsidRPr="00BA77AD">
        <w:rPr>
          <w:rFonts w:cstheme="minorHAnsi"/>
          <w:sz w:val="24"/>
          <w:szCs w:val="24"/>
        </w:rPr>
        <w:t>fumarato</w:t>
      </w:r>
      <w:proofErr w:type="spellEnd"/>
    </w:p>
    <w:p w14:paraId="46835D6C" w14:textId="77777777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ab/>
      </w:r>
    </w:p>
    <w:p w14:paraId="38A3DE83" w14:textId="708CC38E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>Rivestimento della compressa:</w:t>
      </w:r>
    </w:p>
    <w:p w14:paraId="019C1F1C" w14:textId="77777777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ab/>
      </w:r>
      <w:proofErr w:type="spellStart"/>
      <w:r w:rsidRPr="00BA77AD">
        <w:rPr>
          <w:rFonts w:cstheme="minorHAnsi"/>
          <w:sz w:val="24"/>
          <w:szCs w:val="24"/>
        </w:rPr>
        <w:t>Polivinil</w:t>
      </w:r>
      <w:proofErr w:type="spellEnd"/>
      <w:r w:rsidRPr="00BA77AD">
        <w:rPr>
          <w:rFonts w:cstheme="minorHAnsi"/>
          <w:sz w:val="24"/>
          <w:szCs w:val="24"/>
        </w:rPr>
        <w:t xml:space="preserve"> alcol (E1203)</w:t>
      </w:r>
    </w:p>
    <w:p w14:paraId="5D622EA4" w14:textId="77777777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ab/>
      </w:r>
      <w:proofErr w:type="spellStart"/>
      <w:r w:rsidRPr="00BA77AD">
        <w:rPr>
          <w:rFonts w:cstheme="minorHAnsi"/>
          <w:sz w:val="24"/>
          <w:szCs w:val="24"/>
        </w:rPr>
        <w:t>Polietilen</w:t>
      </w:r>
      <w:proofErr w:type="spellEnd"/>
      <w:r w:rsidRPr="00BA77AD">
        <w:rPr>
          <w:rFonts w:cstheme="minorHAnsi"/>
          <w:sz w:val="24"/>
          <w:szCs w:val="24"/>
        </w:rPr>
        <w:t xml:space="preserve"> glicole (E1521)  </w:t>
      </w:r>
    </w:p>
    <w:p w14:paraId="1AA42FA2" w14:textId="77777777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ab/>
        <w:t>Talco</w:t>
      </w:r>
    </w:p>
    <w:p w14:paraId="27C427EE" w14:textId="77777777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ab/>
        <w:t xml:space="preserve">Titanio diossido (E171) </w:t>
      </w:r>
    </w:p>
    <w:p w14:paraId="2B3C9347" w14:textId="77777777" w:rsidR="00BA77AD" w:rsidRPr="00BA77AD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lastRenderedPageBreak/>
        <w:tab/>
        <w:t xml:space="preserve">Ferro ossido rosso (E172) </w:t>
      </w:r>
    </w:p>
    <w:p w14:paraId="1FE18E29" w14:textId="4DEADF03" w:rsidR="004E5A39" w:rsidRPr="00A31CC1" w:rsidRDefault="00BA77AD" w:rsidP="00BA77AD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A77AD">
        <w:rPr>
          <w:rFonts w:cstheme="minorHAnsi"/>
          <w:sz w:val="24"/>
          <w:szCs w:val="24"/>
        </w:rPr>
        <w:tab/>
        <w:t>Ferro ossido giallo (E172)</w:t>
      </w:r>
    </w:p>
    <w:p w14:paraId="002B4377" w14:textId="77777777" w:rsidR="00BA77AD" w:rsidRDefault="00BA77AD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B178C45" w14:textId="729CB07B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C1A9C5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4B7C7D3A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Specifiche del prodotto finito</w:t>
      </w:r>
    </w:p>
    <w:p w14:paraId="23930CD9" w14:textId="1E24F2F6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 w:rsidRPr="00A31CC1">
        <w:rPr>
          <w:rFonts w:cstheme="minorHAnsi"/>
          <w:sz w:val="24"/>
          <w:szCs w:val="24"/>
        </w:rPr>
        <w:t>per i diversi dosaggi del prodott</w:t>
      </w:r>
      <w:r w:rsidR="008767B9">
        <w:rPr>
          <w:rFonts w:cstheme="minorHAnsi"/>
          <w:sz w:val="24"/>
          <w:szCs w:val="24"/>
        </w:rPr>
        <w:t>o</w:t>
      </w:r>
      <w:r w:rsidR="000808A3" w:rsidRPr="00A31CC1">
        <w:rPr>
          <w:rFonts w:cstheme="minorHAnsi"/>
          <w:sz w:val="24"/>
          <w:szCs w:val="24"/>
        </w:rPr>
        <w:t xml:space="preserve"> finito</w:t>
      </w:r>
      <w:r w:rsidRPr="00A31CC1">
        <w:rPr>
          <w:rFonts w:cstheme="minorHAnsi"/>
          <w:sz w:val="24"/>
          <w:szCs w:val="24"/>
        </w:rPr>
        <w:t xml:space="preserve">: questi dati dimostrano che i lotti prodotti sono in accordo alle specifiche proposte. Sono stati forniti, infine, </w:t>
      </w:r>
      <w:r w:rsidR="00F44B8C">
        <w:rPr>
          <w:rFonts w:cstheme="minorHAnsi"/>
          <w:sz w:val="24"/>
          <w:szCs w:val="24"/>
        </w:rPr>
        <w:t>dati adeguati</w:t>
      </w:r>
      <w:r w:rsidRPr="00A31CC1">
        <w:rPr>
          <w:rFonts w:cstheme="minorHAnsi"/>
          <w:sz w:val="24"/>
          <w:szCs w:val="24"/>
        </w:rPr>
        <w:t xml:space="preserve"> per </w:t>
      </w:r>
      <w:r w:rsidR="00F44B8C">
        <w:rPr>
          <w:rFonts w:cstheme="minorHAnsi"/>
          <w:sz w:val="24"/>
          <w:szCs w:val="24"/>
        </w:rPr>
        <w:t>la qualità de</w:t>
      </w:r>
      <w:r w:rsidRPr="00A31CC1">
        <w:rPr>
          <w:rFonts w:cstheme="minorHAnsi"/>
          <w:sz w:val="24"/>
          <w:szCs w:val="24"/>
        </w:rPr>
        <w:t>gli standard di riferimento utilizzati.</w:t>
      </w:r>
    </w:p>
    <w:p w14:paraId="5B60B4D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Contenitore</w:t>
      </w:r>
    </w:p>
    <w:p w14:paraId="0777D674" w14:textId="61C1A26B" w:rsidR="00BA0ACD" w:rsidRDefault="0067181B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confezionato in </w:t>
      </w:r>
      <w:r w:rsidR="000808A3" w:rsidRPr="00A31CC1">
        <w:rPr>
          <w:rFonts w:cstheme="minorHAnsi"/>
          <w:sz w:val="24"/>
          <w:szCs w:val="24"/>
        </w:rPr>
        <w:t xml:space="preserve">blister </w:t>
      </w:r>
      <w:r w:rsidR="00F0524C" w:rsidRPr="00F0524C">
        <w:rPr>
          <w:rFonts w:cstheme="minorHAnsi"/>
          <w:sz w:val="24"/>
          <w:szCs w:val="24"/>
        </w:rPr>
        <w:t>trasparente in PVC/PVDC e alluminio</w:t>
      </w:r>
      <w:r w:rsidR="00F27165">
        <w:rPr>
          <w:rFonts w:cstheme="minorHAnsi"/>
          <w:sz w:val="24"/>
          <w:szCs w:val="24"/>
        </w:rPr>
        <w:t>.</w:t>
      </w:r>
    </w:p>
    <w:p w14:paraId="5C80D476" w14:textId="77777777" w:rsidR="00F27165" w:rsidRPr="00A31CC1" w:rsidRDefault="00F27165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8125BC" w14:textId="3136AA6F" w:rsidR="00F44B8C" w:rsidRPr="00F44B8C" w:rsidRDefault="004E5A39" w:rsidP="00F44B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</w:t>
      </w:r>
      <w:r w:rsidR="00F44B8C">
        <w:rPr>
          <w:rFonts w:cstheme="minorHAnsi"/>
          <w:sz w:val="24"/>
          <w:szCs w:val="24"/>
        </w:rPr>
        <w:t xml:space="preserve">adeguate informazioni relative al </w:t>
      </w:r>
      <w:r w:rsidRPr="00A31CC1">
        <w:rPr>
          <w:rFonts w:cstheme="minorHAnsi"/>
          <w:sz w:val="24"/>
          <w:szCs w:val="24"/>
        </w:rPr>
        <w:t>confezionamento primario.</w:t>
      </w:r>
    </w:p>
    <w:p w14:paraId="6BE64A56" w14:textId="77777777" w:rsidR="00BA0ACD" w:rsidRPr="00A31CC1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Stabilità</w:t>
      </w:r>
    </w:p>
    <w:p w14:paraId="3AFA76FF" w14:textId="62059479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5271D9">
        <w:rPr>
          <w:rFonts w:cstheme="minorHAnsi"/>
          <w:sz w:val="24"/>
          <w:szCs w:val="24"/>
        </w:rPr>
        <w:t xml:space="preserve">36 </w:t>
      </w:r>
      <w:r w:rsidR="00165D07">
        <w:rPr>
          <w:rFonts w:cstheme="minorHAnsi"/>
          <w:sz w:val="24"/>
          <w:szCs w:val="24"/>
        </w:rPr>
        <w:t>mesi</w:t>
      </w:r>
      <w:r w:rsidRPr="00A31CC1">
        <w:rPr>
          <w:rFonts w:cstheme="minorHAnsi"/>
          <w:sz w:val="24"/>
          <w:szCs w:val="24"/>
        </w:rPr>
        <w:t xml:space="preserve"> senza nessuna condizione particolare di conservazione</w:t>
      </w:r>
      <w:r w:rsidR="005271D9">
        <w:rPr>
          <w:rFonts w:cstheme="minorHAnsi"/>
          <w:sz w:val="24"/>
          <w:szCs w:val="24"/>
        </w:rPr>
        <w:t>.</w:t>
      </w:r>
    </w:p>
    <w:p w14:paraId="35B3E19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7B15DFB2" w:rsidR="004E5A39" w:rsidRPr="00A31CC1" w:rsidRDefault="00F44B8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4E5A39" w:rsidRPr="00A31CC1">
        <w:rPr>
          <w:rFonts w:cstheme="minorHAnsi"/>
          <w:sz w:val="24"/>
          <w:szCs w:val="24"/>
        </w:rPr>
        <w:t xml:space="preserve">a qualità di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="004E5A39" w:rsidRPr="00A31CC1">
        <w:rPr>
          <w:rFonts w:cstheme="minorHAnsi"/>
          <w:sz w:val="24"/>
          <w:szCs w:val="24"/>
        </w:rPr>
        <w:t>.</w:t>
      </w:r>
      <w:r w:rsidR="00323648" w:rsidRPr="00A31CC1">
        <w:rPr>
          <w:rFonts w:cstheme="minorHAnsi"/>
          <w:sz w:val="24"/>
          <w:szCs w:val="24"/>
        </w:rPr>
        <w:t xml:space="preserve"> </w:t>
      </w:r>
    </w:p>
    <w:p w14:paraId="0448511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5C62D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20C234A4" w14:textId="376FC8DD" w:rsidR="001A516D" w:rsidRDefault="001A516D">
      <w:pPr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</w:p>
    <w:p w14:paraId="69A2D479" w14:textId="17B2713C" w:rsidR="00F27C7F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contiene principi attiv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not</w:t>
      </w:r>
      <w:r w:rsidR="00853EC6" w:rsidRPr="00A31CC1">
        <w:rPr>
          <w:rFonts w:cstheme="minorHAnsi"/>
          <w:sz w:val="24"/>
          <w:szCs w:val="24"/>
        </w:rPr>
        <w:t>i</w:t>
      </w:r>
      <w:r w:rsidR="00F44B8C">
        <w:rPr>
          <w:rFonts w:cstheme="minorHAnsi"/>
          <w:sz w:val="24"/>
          <w:szCs w:val="24"/>
        </w:rPr>
        <w:t xml:space="preserve"> </w:t>
      </w:r>
      <w:r w:rsidR="00F44B8C" w:rsidRPr="00A31CC1">
        <w:rPr>
          <w:rFonts w:cstheme="minorHAnsi"/>
          <w:sz w:val="24"/>
          <w:szCs w:val="24"/>
        </w:rPr>
        <w:t>present</w:t>
      </w:r>
      <w:r w:rsidR="00F44B8C">
        <w:rPr>
          <w:rFonts w:cstheme="minorHAnsi"/>
          <w:sz w:val="24"/>
          <w:szCs w:val="24"/>
        </w:rPr>
        <w:t>i</w:t>
      </w:r>
      <w:r w:rsidR="00F44B8C" w:rsidRPr="00A31CC1">
        <w:rPr>
          <w:rFonts w:cstheme="minorHAnsi"/>
          <w:sz w:val="24"/>
          <w:szCs w:val="24"/>
        </w:rPr>
        <w:t xml:space="preserve"> </w:t>
      </w:r>
      <w:r w:rsidR="00BA0ACD" w:rsidRPr="00A31CC1">
        <w:rPr>
          <w:rFonts w:cstheme="minorHAnsi"/>
          <w:sz w:val="24"/>
          <w:szCs w:val="24"/>
        </w:rPr>
        <w:t>nel medicinale di riferimento</w:t>
      </w:r>
      <w:r w:rsidRPr="00A31CC1">
        <w:rPr>
          <w:rFonts w:cstheme="minorHAnsi"/>
          <w:sz w:val="24"/>
          <w:szCs w:val="24"/>
        </w:rPr>
        <w:t xml:space="preserve">: questo approccio è accettabile poiché il medicinale di riferimento </w:t>
      </w:r>
      <w:proofErr w:type="spellStart"/>
      <w:r w:rsidR="00287A38">
        <w:rPr>
          <w:rFonts w:eastAsia="Calibri" w:cstheme="minorHAnsi"/>
          <w:sz w:val="24"/>
          <w:szCs w:val="24"/>
          <w:lang w:eastAsia="it-IT"/>
        </w:rPr>
        <w:t>Januvia</w:t>
      </w:r>
      <w:proofErr w:type="spellEnd"/>
      <w:r w:rsidR="00287A38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è autorizzato in Italia da oltre 10 anni</w:t>
      </w:r>
      <w:r w:rsidR="00287A38">
        <w:rPr>
          <w:rFonts w:cstheme="minorHAnsi"/>
          <w:sz w:val="24"/>
          <w:szCs w:val="24"/>
        </w:rPr>
        <w:t>.</w:t>
      </w:r>
    </w:p>
    <w:p w14:paraId="26BE1BD2" w14:textId="77777777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D4D55E" w14:textId="6603969A" w:rsidR="00287A38" w:rsidRPr="00CD1F09" w:rsidRDefault="00287A38" w:rsidP="00287A38">
      <w:pPr>
        <w:widowControl w:val="0"/>
        <w:jc w:val="both"/>
        <w:rPr>
          <w:snapToGrid w:val="0"/>
          <w:sz w:val="24"/>
          <w:lang w:eastAsia="nl-NL"/>
        </w:rPr>
      </w:pPr>
      <w:r w:rsidRPr="00287A38">
        <w:rPr>
          <w:snapToGrid w:val="0"/>
          <w:sz w:val="24"/>
        </w:rPr>
        <w:t>I dati ERA sono stati presentati dal richiedente al fine di calcolare la concentrazione ambientale prevista (</w:t>
      </w:r>
      <w:proofErr w:type="spellStart"/>
      <w:r w:rsidRPr="00CD1F09">
        <w:rPr>
          <w:snapToGrid w:val="0"/>
          <w:sz w:val="24"/>
        </w:rPr>
        <w:t>Predicted</w:t>
      </w:r>
      <w:proofErr w:type="spellEnd"/>
      <w:r w:rsidRPr="00CD1F09">
        <w:rPr>
          <w:snapToGrid w:val="0"/>
          <w:sz w:val="24"/>
        </w:rPr>
        <w:t xml:space="preserve"> </w:t>
      </w:r>
      <w:proofErr w:type="spellStart"/>
      <w:r w:rsidRPr="00CD1F09">
        <w:rPr>
          <w:snapToGrid w:val="0"/>
          <w:sz w:val="24"/>
        </w:rPr>
        <w:t>Environmental</w:t>
      </w:r>
      <w:proofErr w:type="spellEnd"/>
      <w:r w:rsidRPr="00CD1F09">
        <w:rPr>
          <w:snapToGrid w:val="0"/>
          <w:sz w:val="24"/>
        </w:rPr>
        <w:t xml:space="preserve"> </w:t>
      </w:r>
      <w:proofErr w:type="spellStart"/>
      <w:r w:rsidRPr="00CD1F09">
        <w:rPr>
          <w:snapToGrid w:val="0"/>
          <w:sz w:val="24"/>
        </w:rPr>
        <w:t>Concentration</w:t>
      </w:r>
      <w:proofErr w:type="spellEnd"/>
      <w:r w:rsidRPr="00CD1F09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- </w:t>
      </w:r>
      <w:r w:rsidRPr="00287A38">
        <w:rPr>
          <w:snapToGrid w:val="0"/>
          <w:sz w:val="24"/>
        </w:rPr>
        <w:t>PEC) d</w:t>
      </w:r>
      <w:r>
        <w:rPr>
          <w:snapToGrid w:val="0"/>
          <w:sz w:val="24"/>
        </w:rPr>
        <w:t xml:space="preserve">i </w:t>
      </w:r>
      <w:proofErr w:type="spellStart"/>
      <w:r w:rsidRPr="00287A38">
        <w:rPr>
          <w:snapToGrid w:val="0"/>
          <w:sz w:val="24"/>
        </w:rPr>
        <w:t>sitagliptin</w:t>
      </w:r>
      <w:proofErr w:type="spellEnd"/>
      <w:r w:rsidRPr="00287A38">
        <w:rPr>
          <w:snapToGrid w:val="0"/>
          <w:sz w:val="24"/>
        </w:rPr>
        <w:t xml:space="preserve"> e di discutere la necessità o la</w:t>
      </w:r>
      <w:r>
        <w:rPr>
          <w:snapToGrid w:val="0"/>
          <w:sz w:val="24"/>
        </w:rPr>
        <w:t xml:space="preserve"> possibilità di waiver all’effettuazione di </w:t>
      </w:r>
      <w:r w:rsidRPr="00287A38">
        <w:rPr>
          <w:snapToGrid w:val="0"/>
          <w:sz w:val="24"/>
        </w:rPr>
        <w:t xml:space="preserve">studi ambientali sperimentali, come </w:t>
      </w:r>
      <w:r>
        <w:rPr>
          <w:snapToGrid w:val="0"/>
          <w:sz w:val="24"/>
        </w:rPr>
        <w:t xml:space="preserve">previsto nella </w:t>
      </w:r>
      <w:proofErr w:type="spellStart"/>
      <w:r>
        <w:rPr>
          <w:snapToGrid w:val="0"/>
          <w:sz w:val="24"/>
        </w:rPr>
        <w:t>lineaguida</w:t>
      </w:r>
      <w:proofErr w:type="spellEnd"/>
      <w:r w:rsidRPr="00CD1F09">
        <w:rPr>
          <w:snapToGrid w:val="0"/>
          <w:sz w:val="24"/>
        </w:rPr>
        <w:t xml:space="preserve"> EMA </w:t>
      </w:r>
      <w:proofErr w:type="spellStart"/>
      <w:r w:rsidRPr="005A37E4">
        <w:rPr>
          <w:i/>
          <w:snapToGrid w:val="0"/>
          <w:sz w:val="24"/>
        </w:rPr>
        <w:t>Guideline</w:t>
      </w:r>
      <w:proofErr w:type="spellEnd"/>
      <w:r w:rsidRPr="005A37E4">
        <w:rPr>
          <w:i/>
          <w:snapToGrid w:val="0"/>
          <w:sz w:val="24"/>
        </w:rPr>
        <w:t xml:space="preserve"> on the </w:t>
      </w:r>
      <w:proofErr w:type="spellStart"/>
      <w:r w:rsidRPr="005A37E4">
        <w:rPr>
          <w:i/>
          <w:snapToGrid w:val="0"/>
          <w:sz w:val="24"/>
        </w:rPr>
        <w:t>Environmental</w:t>
      </w:r>
      <w:proofErr w:type="spellEnd"/>
      <w:r w:rsidRPr="005A37E4">
        <w:rPr>
          <w:i/>
          <w:snapToGrid w:val="0"/>
          <w:sz w:val="24"/>
        </w:rPr>
        <w:t xml:space="preserve"> </w:t>
      </w:r>
      <w:proofErr w:type="spellStart"/>
      <w:r w:rsidRPr="005A37E4">
        <w:rPr>
          <w:i/>
          <w:snapToGrid w:val="0"/>
          <w:sz w:val="24"/>
        </w:rPr>
        <w:t>Risk</w:t>
      </w:r>
      <w:proofErr w:type="spellEnd"/>
      <w:r w:rsidRPr="005A37E4">
        <w:rPr>
          <w:i/>
          <w:snapToGrid w:val="0"/>
          <w:sz w:val="24"/>
        </w:rPr>
        <w:t xml:space="preserve"> </w:t>
      </w:r>
      <w:proofErr w:type="spellStart"/>
      <w:r w:rsidRPr="005A37E4">
        <w:rPr>
          <w:i/>
          <w:snapToGrid w:val="0"/>
          <w:sz w:val="24"/>
        </w:rPr>
        <w:t>Assessment</w:t>
      </w:r>
      <w:proofErr w:type="spellEnd"/>
      <w:r w:rsidRPr="005A37E4">
        <w:rPr>
          <w:i/>
          <w:snapToGrid w:val="0"/>
          <w:sz w:val="24"/>
        </w:rPr>
        <w:t xml:space="preserve"> of </w:t>
      </w:r>
      <w:proofErr w:type="spellStart"/>
      <w:r w:rsidRPr="005A37E4">
        <w:rPr>
          <w:i/>
          <w:snapToGrid w:val="0"/>
          <w:sz w:val="24"/>
        </w:rPr>
        <w:t>Medicinal</w:t>
      </w:r>
      <w:proofErr w:type="spellEnd"/>
      <w:r w:rsidRPr="005A37E4">
        <w:rPr>
          <w:i/>
          <w:snapToGrid w:val="0"/>
          <w:sz w:val="24"/>
        </w:rPr>
        <w:t xml:space="preserve"> </w:t>
      </w:r>
      <w:proofErr w:type="spellStart"/>
      <w:r w:rsidRPr="005A37E4">
        <w:rPr>
          <w:i/>
          <w:snapToGrid w:val="0"/>
          <w:sz w:val="24"/>
        </w:rPr>
        <w:t>Products</w:t>
      </w:r>
      <w:proofErr w:type="spellEnd"/>
      <w:r w:rsidRPr="005A37E4">
        <w:rPr>
          <w:i/>
          <w:snapToGrid w:val="0"/>
          <w:sz w:val="24"/>
        </w:rPr>
        <w:t xml:space="preserve"> for Human Use (CHMP/SWP/4447/00, Rev. 1).</w:t>
      </w:r>
    </w:p>
    <w:p w14:paraId="58E8F60E" w14:textId="3226E8CE" w:rsidR="00287A38" w:rsidRPr="00CD1F09" w:rsidRDefault="00287A38" w:rsidP="00287A38">
      <w:pPr>
        <w:widowControl w:val="0"/>
        <w:jc w:val="both"/>
        <w:rPr>
          <w:snapToGrid w:val="0"/>
          <w:sz w:val="24"/>
        </w:rPr>
      </w:pPr>
      <w:r w:rsidRPr="00287A38">
        <w:rPr>
          <w:snapToGrid w:val="0"/>
          <w:sz w:val="24"/>
        </w:rPr>
        <w:lastRenderedPageBreak/>
        <w:t xml:space="preserve">Nella fase I, il valore PEC delle acque superficiali era pari a 0,0005 µg/l. Poiché il PEC per le acque superficiali non supera 0,01 microgrammi/litro, non è necessaria alcuna ulteriore valutazione del rischio ambientale. Il log </w:t>
      </w:r>
      <w:proofErr w:type="spellStart"/>
      <w:r w:rsidRPr="00287A38">
        <w:rPr>
          <w:snapToGrid w:val="0"/>
          <w:sz w:val="24"/>
        </w:rPr>
        <w:t>Kow</w:t>
      </w:r>
      <w:proofErr w:type="spellEnd"/>
      <w:r w:rsidRPr="00287A38">
        <w:rPr>
          <w:snapToGrid w:val="0"/>
          <w:sz w:val="24"/>
        </w:rPr>
        <w:t xml:space="preserve"> d</w:t>
      </w:r>
      <w:r>
        <w:rPr>
          <w:snapToGrid w:val="0"/>
          <w:sz w:val="24"/>
        </w:rPr>
        <w:t>i</w:t>
      </w:r>
      <w:r w:rsidRPr="00287A38">
        <w:rPr>
          <w:snapToGrid w:val="0"/>
          <w:sz w:val="24"/>
        </w:rPr>
        <w:t xml:space="preserve"> </w:t>
      </w:r>
      <w:proofErr w:type="spellStart"/>
      <w:r w:rsidRPr="00287A38">
        <w:rPr>
          <w:snapToGrid w:val="0"/>
          <w:sz w:val="24"/>
        </w:rPr>
        <w:t>sitagliptina</w:t>
      </w:r>
      <w:proofErr w:type="spellEnd"/>
      <w:r w:rsidRPr="00287A38">
        <w:rPr>
          <w:snapToGrid w:val="0"/>
          <w:sz w:val="24"/>
        </w:rPr>
        <w:t xml:space="preserve"> è pari a 1,5</w:t>
      </w:r>
      <w:r>
        <w:rPr>
          <w:snapToGrid w:val="0"/>
          <w:sz w:val="24"/>
        </w:rPr>
        <w:t xml:space="preserve"> </w:t>
      </w:r>
      <w:r w:rsidRPr="00287A38">
        <w:rPr>
          <w:snapToGrid w:val="0"/>
          <w:sz w:val="24"/>
        </w:rPr>
        <w:t>, inferiore ai valori limite stabiliti dalla suddetta linea guida dell'EMA (&lt; 4,5)</w:t>
      </w:r>
      <w:r w:rsidRPr="00CD1F09">
        <w:rPr>
          <w:snapToGrid w:val="0"/>
          <w:sz w:val="24"/>
        </w:rPr>
        <w:t>.</w:t>
      </w:r>
    </w:p>
    <w:p w14:paraId="7092BC59" w14:textId="1E5D638D" w:rsidR="00287A38" w:rsidRPr="00287A38" w:rsidRDefault="00287A38" w:rsidP="00287A38">
      <w:pPr>
        <w:pStyle w:val="BodytextAgency"/>
        <w:spacing w:after="0" w:line="240" w:lineRule="auto"/>
        <w:jc w:val="both"/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</w:pPr>
      <w:r w:rsidRPr="00287A38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 xml:space="preserve">Il richiedente ha </w:t>
      </w:r>
      <w:r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>inserito</w:t>
      </w:r>
      <w:r w:rsidRPr="00287A38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 xml:space="preserve"> le frasi “</w:t>
      </w:r>
      <w:r w:rsidRPr="00287A38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ab/>
        <w:t>Il medicinale non utilizzato e i rifiuti derivati da tale medicinale devono essere smaltiti in conformità alla normativa locale vigente” nella sezione 6.6 del Riassunto</w:t>
      </w:r>
      <w:r w:rsidR="006B45FF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 xml:space="preserve"> </w:t>
      </w:r>
      <w:r w:rsidRPr="00287A38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 xml:space="preserve">Delle Caratteristiche </w:t>
      </w:r>
      <w:r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>d</w:t>
      </w:r>
      <w:r w:rsidRPr="00287A38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>el Prodotto e “Non getti alcun medicinale nell’acqua di scarico o nei rifiuti domestici. Chieda al farmacista come eliminare i medicinali che non utilizza più. Questo aiuterà a proteggere l’ambiente.” nella sezione 5 del</w:t>
      </w:r>
      <w:r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 xml:space="preserve"> Foglio Illustrativo</w:t>
      </w:r>
    </w:p>
    <w:p w14:paraId="485091FA" w14:textId="77777777" w:rsidR="00287A38" w:rsidRPr="00287A38" w:rsidRDefault="00287A38" w:rsidP="00287A38">
      <w:pPr>
        <w:pStyle w:val="BodytextAgency"/>
        <w:spacing w:after="0" w:line="240" w:lineRule="auto"/>
        <w:jc w:val="both"/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</w:pPr>
    </w:p>
    <w:p w14:paraId="55FCF02C" w14:textId="77777777" w:rsidR="00287A38" w:rsidRPr="00287A38" w:rsidRDefault="00287A38" w:rsidP="00287A38">
      <w:pPr>
        <w:pStyle w:val="BodytextAgency"/>
        <w:spacing w:after="0" w:line="240" w:lineRule="auto"/>
        <w:jc w:val="both"/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</w:pPr>
      <w:r w:rsidRPr="00287A38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>Conclusioni sugli studi:</w:t>
      </w:r>
    </w:p>
    <w:p w14:paraId="71C93553" w14:textId="364A0987" w:rsidR="00287A38" w:rsidRDefault="00287A38" w:rsidP="00287A38">
      <w:pPr>
        <w:pStyle w:val="BodytextAgency"/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eastAsia="en-US"/>
        </w:rPr>
      </w:pPr>
      <w:r w:rsidRPr="00287A38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 xml:space="preserve">Il valore PEC di </w:t>
      </w:r>
      <w:proofErr w:type="spellStart"/>
      <w:r w:rsidRPr="00287A38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>sitagliptin</w:t>
      </w:r>
      <w:proofErr w:type="spellEnd"/>
      <w:r w:rsidRPr="00287A38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 xml:space="preserve"> nelle acque superficiali è inferiore al limite di azione di 0,01 µg/L e non è una sostanza PBT poiché il log </w:t>
      </w:r>
      <w:proofErr w:type="spellStart"/>
      <w:r w:rsidRPr="00287A38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>Kow</w:t>
      </w:r>
      <w:proofErr w:type="spellEnd"/>
      <w:r w:rsidRPr="00287A38">
        <w:rPr>
          <w:rFonts w:asciiTheme="minorHAnsi" w:eastAsiaTheme="minorHAnsi" w:hAnsiTheme="minorHAnsi" w:cstheme="minorBidi"/>
          <w:snapToGrid w:val="0"/>
          <w:sz w:val="24"/>
          <w:szCs w:val="22"/>
          <w:lang w:val="it-IT" w:eastAsia="en-US"/>
        </w:rPr>
        <w:t xml:space="preserve"> non supera 4,5.</w:t>
      </w:r>
    </w:p>
    <w:p w14:paraId="515C3ED5" w14:textId="77777777" w:rsidR="005A37E4" w:rsidRPr="00CD1F09" w:rsidRDefault="005A37E4" w:rsidP="00287A38">
      <w:pPr>
        <w:pStyle w:val="BodytextAgency"/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eastAsia="en-US"/>
        </w:rPr>
      </w:pPr>
    </w:p>
    <w:p w14:paraId="0B05275A" w14:textId="77777777"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080D102F" w14:textId="77777777" w:rsidR="00F16316" w:rsidRDefault="00F16316" w:rsidP="005A37E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2B41EC9" w14:textId="1CE6532B" w:rsidR="005A37E4" w:rsidRPr="00F16316" w:rsidRDefault="0067181B" w:rsidP="00F1631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 xml:space="preserve">è utilizzato </w:t>
      </w:r>
      <w:proofErr w:type="spellStart"/>
      <w:r w:rsidR="005A37E4">
        <w:rPr>
          <w:rFonts w:cstheme="minorHAnsi"/>
          <w:sz w:val="24"/>
          <w:szCs w:val="24"/>
        </w:rPr>
        <w:t>in</w:t>
      </w:r>
      <w:r w:rsidR="005A37E4" w:rsidRPr="001432B1">
        <w:rPr>
          <w:bCs/>
        </w:rPr>
        <w:t>pazienti</w:t>
      </w:r>
      <w:proofErr w:type="spellEnd"/>
      <w:r w:rsidR="005A37E4" w:rsidRPr="001432B1">
        <w:rPr>
          <w:bCs/>
        </w:rPr>
        <w:t xml:space="preserve"> adulti con diabete mellito di tipo 2, per migliorare il controllo glicemico:</w:t>
      </w:r>
    </w:p>
    <w:p w14:paraId="430DE201" w14:textId="77777777" w:rsidR="005A37E4" w:rsidRPr="001432B1" w:rsidRDefault="005A37E4" w:rsidP="005A37E4">
      <w:pPr>
        <w:numPr>
          <w:ilvl w:val="12"/>
          <w:numId w:val="0"/>
        </w:numPr>
        <w:spacing w:line="240" w:lineRule="auto"/>
        <w:ind w:right="-2"/>
        <w:rPr>
          <w:bCs/>
        </w:rPr>
      </w:pPr>
    </w:p>
    <w:p w14:paraId="06A42A2A" w14:textId="77777777" w:rsidR="005A37E4" w:rsidRPr="001432B1" w:rsidRDefault="005A37E4" w:rsidP="005A37E4">
      <w:pPr>
        <w:numPr>
          <w:ilvl w:val="12"/>
          <w:numId w:val="0"/>
        </w:numPr>
        <w:spacing w:line="240" w:lineRule="auto"/>
        <w:ind w:right="-2"/>
        <w:rPr>
          <w:bCs/>
        </w:rPr>
      </w:pPr>
      <w:r w:rsidRPr="001432B1">
        <w:rPr>
          <w:bCs/>
        </w:rPr>
        <w:t>in monoterapia:</w:t>
      </w:r>
    </w:p>
    <w:p w14:paraId="05679E6B" w14:textId="77777777" w:rsidR="005A37E4" w:rsidRPr="001432B1" w:rsidRDefault="005A37E4" w:rsidP="005A37E4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</w:rPr>
      </w:pPr>
      <w:r w:rsidRPr="001432B1">
        <w:rPr>
          <w:bCs/>
        </w:rPr>
        <w:t>in pazienti non adeguatamente controllati solamente con dieta ed esercizio fisico e per i quali la metformina non è appropriata per controindicazioni o intolleranza.</w:t>
      </w:r>
    </w:p>
    <w:p w14:paraId="46F41238" w14:textId="77777777" w:rsidR="005A37E4" w:rsidRPr="001432B1" w:rsidRDefault="005A37E4" w:rsidP="005A37E4">
      <w:pPr>
        <w:numPr>
          <w:ilvl w:val="12"/>
          <w:numId w:val="0"/>
        </w:numPr>
        <w:spacing w:line="240" w:lineRule="auto"/>
        <w:ind w:right="-2"/>
        <w:rPr>
          <w:bCs/>
        </w:rPr>
      </w:pPr>
    </w:p>
    <w:p w14:paraId="1C6BB83A" w14:textId="77777777" w:rsidR="005A37E4" w:rsidRPr="001432B1" w:rsidRDefault="005A37E4" w:rsidP="005A37E4">
      <w:pPr>
        <w:numPr>
          <w:ilvl w:val="12"/>
          <w:numId w:val="0"/>
        </w:numPr>
        <w:spacing w:line="240" w:lineRule="auto"/>
        <w:ind w:right="-2"/>
        <w:rPr>
          <w:bCs/>
        </w:rPr>
      </w:pPr>
      <w:r w:rsidRPr="001432B1">
        <w:rPr>
          <w:bCs/>
        </w:rPr>
        <w:t>in duplice terapia orale in associazione con:</w:t>
      </w:r>
    </w:p>
    <w:p w14:paraId="3EBA5211" w14:textId="77777777" w:rsidR="005A37E4" w:rsidRPr="001432B1" w:rsidRDefault="005A37E4" w:rsidP="005A37E4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</w:rPr>
      </w:pPr>
      <w:r w:rsidRPr="001432B1">
        <w:rPr>
          <w:bCs/>
        </w:rPr>
        <w:t>metformina, quando dieta ed esercizio fisico più metformina da sola non forniscono un adeguato controllo della glicemia.</w:t>
      </w:r>
    </w:p>
    <w:p w14:paraId="336A7479" w14:textId="77777777" w:rsidR="005A37E4" w:rsidRPr="001432B1" w:rsidRDefault="005A37E4" w:rsidP="005A37E4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</w:rPr>
      </w:pPr>
      <w:r w:rsidRPr="001432B1">
        <w:rPr>
          <w:bCs/>
        </w:rPr>
        <w:t xml:space="preserve">una </w:t>
      </w:r>
      <w:proofErr w:type="spellStart"/>
      <w:r w:rsidRPr="001432B1">
        <w:rPr>
          <w:bCs/>
        </w:rPr>
        <w:t>sulfonilurea</w:t>
      </w:r>
      <w:proofErr w:type="spellEnd"/>
      <w:r w:rsidRPr="001432B1">
        <w:rPr>
          <w:bCs/>
        </w:rPr>
        <w:t xml:space="preserve">, quando dieta ed esercizio fisico più la dose massima tollerata di una </w:t>
      </w:r>
      <w:proofErr w:type="spellStart"/>
      <w:r w:rsidRPr="001432B1">
        <w:rPr>
          <w:bCs/>
        </w:rPr>
        <w:t>sulfonilurea</w:t>
      </w:r>
      <w:proofErr w:type="spellEnd"/>
      <w:r w:rsidRPr="001432B1">
        <w:rPr>
          <w:bCs/>
        </w:rPr>
        <w:t xml:space="preserve"> da sola non forniscono un adeguato controllo della glicemia e quando la metformina non è appropriata per controindicazioni o intolleranza.</w:t>
      </w:r>
    </w:p>
    <w:p w14:paraId="1126E3F0" w14:textId="77777777" w:rsidR="005A37E4" w:rsidRPr="001432B1" w:rsidRDefault="005A37E4" w:rsidP="005A37E4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</w:rPr>
      </w:pPr>
      <w:r w:rsidRPr="001432B1">
        <w:rPr>
          <w:bCs/>
        </w:rPr>
        <w:t xml:space="preserve">un agonista del recettore gamma attivato dal </w:t>
      </w:r>
      <w:proofErr w:type="spellStart"/>
      <w:r w:rsidRPr="001432B1">
        <w:rPr>
          <w:bCs/>
        </w:rPr>
        <w:t>proliferatore</w:t>
      </w:r>
      <w:proofErr w:type="spellEnd"/>
      <w:r w:rsidRPr="001432B1">
        <w:rPr>
          <w:bCs/>
        </w:rPr>
        <w:t xml:space="preserve"> del </w:t>
      </w:r>
      <w:proofErr w:type="spellStart"/>
      <w:r w:rsidRPr="001432B1">
        <w:rPr>
          <w:bCs/>
        </w:rPr>
        <w:t>perossisoma</w:t>
      </w:r>
      <w:proofErr w:type="spellEnd"/>
      <w:r w:rsidRPr="001432B1">
        <w:rPr>
          <w:bCs/>
        </w:rPr>
        <w:t xml:space="preserve"> (PPAR</w:t>
      </w:r>
      <w:r w:rsidRPr="001432B1">
        <w:sym w:font="Symbol" w:char="F067"/>
      </w:r>
      <w:r w:rsidRPr="001432B1">
        <w:rPr>
          <w:bCs/>
        </w:rPr>
        <w:t>) (per es., un tiazolidinedione), quando è appropriato l’uso di un agonista PPAR</w:t>
      </w:r>
      <w:r w:rsidRPr="001432B1">
        <w:sym w:font="Symbol" w:char="F067"/>
      </w:r>
      <w:r w:rsidRPr="001432B1">
        <w:rPr>
          <w:bCs/>
        </w:rPr>
        <w:t xml:space="preserve"> e quando dieta ed esercizio fisico più l’agonista PPAR</w:t>
      </w:r>
      <w:r w:rsidRPr="001432B1">
        <w:sym w:font="Symbol" w:char="F067"/>
      </w:r>
      <w:r w:rsidRPr="001432B1">
        <w:rPr>
          <w:bCs/>
        </w:rPr>
        <w:t xml:space="preserve"> da solo non forniscono un adeguato controllo della glicemia.</w:t>
      </w:r>
    </w:p>
    <w:p w14:paraId="1C0339A5" w14:textId="77777777" w:rsidR="005A37E4" w:rsidRPr="001432B1" w:rsidRDefault="005A37E4" w:rsidP="005A37E4">
      <w:pPr>
        <w:numPr>
          <w:ilvl w:val="12"/>
          <w:numId w:val="0"/>
        </w:numPr>
        <w:spacing w:line="240" w:lineRule="auto"/>
        <w:ind w:right="-2"/>
        <w:rPr>
          <w:bCs/>
        </w:rPr>
      </w:pPr>
    </w:p>
    <w:p w14:paraId="42C71F0C" w14:textId="77777777" w:rsidR="005A37E4" w:rsidRPr="001432B1" w:rsidRDefault="005A37E4" w:rsidP="005A37E4">
      <w:pPr>
        <w:spacing w:line="240" w:lineRule="auto"/>
        <w:ind w:right="-2"/>
        <w:rPr>
          <w:bCs/>
        </w:rPr>
      </w:pPr>
      <w:r w:rsidRPr="001432B1">
        <w:rPr>
          <w:bCs/>
        </w:rPr>
        <w:t>in triplice terapia orale in associazione con:</w:t>
      </w:r>
    </w:p>
    <w:p w14:paraId="2B0BF4CF" w14:textId="77777777" w:rsidR="005A37E4" w:rsidRPr="001432B1" w:rsidRDefault="005A37E4" w:rsidP="005A37E4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</w:rPr>
      </w:pPr>
      <w:r w:rsidRPr="001432B1">
        <w:rPr>
          <w:bCs/>
        </w:rPr>
        <w:t xml:space="preserve">una </w:t>
      </w:r>
      <w:proofErr w:type="spellStart"/>
      <w:r w:rsidRPr="001432B1">
        <w:rPr>
          <w:bCs/>
        </w:rPr>
        <w:t>sulfonilurea</w:t>
      </w:r>
      <w:proofErr w:type="spellEnd"/>
      <w:r w:rsidRPr="001432B1">
        <w:rPr>
          <w:bCs/>
        </w:rPr>
        <w:t xml:space="preserve"> e </w:t>
      </w:r>
      <w:proofErr w:type="spellStart"/>
      <w:r w:rsidRPr="001432B1">
        <w:rPr>
          <w:bCs/>
        </w:rPr>
        <w:t>metformina</w:t>
      </w:r>
      <w:proofErr w:type="spellEnd"/>
      <w:r w:rsidRPr="001432B1">
        <w:rPr>
          <w:bCs/>
        </w:rPr>
        <w:t>, quando dieta ed esercizio fisico più la duplice terapia con questi medicinali non forniscono un adeguato controllo della glicemia.</w:t>
      </w:r>
    </w:p>
    <w:p w14:paraId="245A9973" w14:textId="77777777" w:rsidR="005A37E4" w:rsidRPr="001432B1" w:rsidRDefault="005A37E4" w:rsidP="005A37E4">
      <w:pPr>
        <w:pStyle w:val="Paragrafoelenco"/>
        <w:numPr>
          <w:ilvl w:val="0"/>
          <w:numId w:val="9"/>
        </w:numPr>
        <w:spacing w:after="0" w:line="240" w:lineRule="auto"/>
        <w:ind w:right="-2"/>
        <w:rPr>
          <w:bCs/>
        </w:rPr>
      </w:pPr>
      <w:r w:rsidRPr="001432B1">
        <w:rPr>
          <w:bCs/>
        </w:rPr>
        <w:t>un agonista PPAR</w:t>
      </w:r>
      <w:r w:rsidRPr="001432B1">
        <w:sym w:font="Symbol" w:char="F067"/>
      </w:r>
      <w:r w:rsidRPr="001432B1">
        <w:rPr>
          <w:bCs/>
        </w:rPr>
        <w:t xml:space="preserve"> e metformina, quando è appropriato l’uso di un agonista PPAR</w:t>
      </w:r>
      <w:r w:rsidRPr="001432B1">
        <w:sym w:font="Symbol" w:char="F067"/>
      </w:r>
      <w:r w:rsidRPr="001432B1">
        <w:rPr>
          <w:bCs/>
        </w:rPr>
        <w:t xml:space="preserve"> e quando dieta ed esercizio fisico più la duplice terapia con questi medicinali non forniscono un adeguato controllo della glicemia.</w:t>
      </w:r>
    </w:p>
    <w:p w14:paraId="42BDA346" w14:textId="77777777" w:rsidR="005A37E4" w:rsidRPr="001432B1" w:rsidRDefault="005A37E4" w:rsidP="005A37E4">
      <w:pPr>
        <w:numPr>
          <w:ilvl w:val="12"/>
          <w:numId w:val="0"/>
        </w:numPr>
        <w:spacing w:line="240" w:lineRule="auto"/>
        <w:ind w:right="-2"/>
        <w:rPr>
          <w:bCs/>
        </w:rPr>
      </w:pPr>
    </w:p>
    <w:p w14:paraId="002D8DC0" w14:textId="77777777" w:rsidR="005A37E4" w:rsidRPr="001432B1" w:rsidRDefault="005A37E4" w:rsidP="005A37E4">
      <w:pPr>
        <w:numPr>
          <w:ilvl w:val="12"/>
          <w:numId w:val="0"/>
        </w:numPr>
        <w:spacing w:line="240" w:lineRule="auto"/>
        <w:ind w:right="-2"/>
        <w:rPr>
          <w:bCs/>
        </w:rPr>
      </w:pPr>
      <w:proofErr w:type="spellStart"/>
      <w:r w:rsidRPr="001432B1">
        <w:rPr>
          <w:bCs/>
        </w:rPr>
        <w:t>Sitagliptin</w:t>
      </w:r>
      <w:proofErr w:type="spellEnd"/>
      <w:r w:rsidRPr="001432B1">
        <w:rPr>
          <w:bCs/>
        </w:rPr>
        <w:t xml:space="preserve"> Abdi è anche indicato come terapia aggiuntiva all’insulina (con o senza metformina), quando dieta ed esercizio fisico più una dose stabile di insulina non forniscono un adeguato controllo della glicemia.</w:t>
      </w:r>
    </w:p>
    <w:p w14:paraId="554DB7A7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Posologia e modalità di somministrazione</w:t>
      </w:r>
    </w:p>
    <w:p w14:paraId="7D9DD53A" w14:textId="151F282C" w:rsidR="004E5A39" w:rsidRDefault="004E5A39" w:rsidP="00EF6711">
      <w:pPr>
        <w:spacing w:after="0" w:line="240" w:lineRule="auto"/>
        <w:ind w:right="6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</w:t>
      </w:r>
      <w:hyperlink r:id="rId11" w:anchor="/it/" w:history="1">
        <w:r w:rsidR="00165D07" w:rsidRPr="00705407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</w:p>
    <w:p w14:paraId="6754E9F0" w14:textId="77777777" w:rsidR="00195C98" w:rsidRPr="00A31CC1" w:rsidRDefault="00195C98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065F4963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A31CC1">
        <w:rPr>
          <w:rFonts w:eastAsia="Times New Roman" w:cstheme="minorHAnsi"/>
          <w:b/>
          <w:sz w:val="24"/>
          <w:szCs w:val="24"/>
        </w:rPr>
        <w:t>Farmacologia clinica</w:t>
      </w:r>
    </w:p>
    <w:p w14:paraId="108F0620" w14:textId="42973203" w:rsidR="00BE7CDB" w:rsidRPr="00A31CC1" w:rsidRDefault="004E5A39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contiene principi attiv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not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</w:t>
      </w:r>
      <w:r w:rsidR="00745609" w:rsidRPr="00A31CC1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>present</w:t>
      </w:r>
      <w:r w:rsidR="00745609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nel medicinale </w:t>
      </w:r>
      <w:r w:rsidR="00BA0ACD" w:rsidRPr="00A31CC1">
        <w:rPr>
          <w:rFonts w:cstheme="minorHAnsi"/>
          <w:sz w:val="24"/>
          <w:szCs w:val="24"/>
        </w:rPr>
        <w:t xml:space="preserve">di riferimento </w:t>
      </w:r>
      <w:proofErr w:type="spellStart"/>
      <w:r w:rsidR="005A37E4">
        <w:rPr>
          <w:rFonts w:cstheme="minorHAnsi"/>
          <w:sz w:val="24"/>
          <w:szCs w:val="24"/>
        </w:rPr>
        <w:t>Januvia</w:t>
      </w:r>
      <w:proofErr w:type="spellEnd"/>
      <w:r w:rsidR="005A37E4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autorizzato in Italia da più di </w:t>
      </w:r>
      <w:r w:rsidR="00AD051C" w:rsidRPr="00A31CC1">
        <w:rPr>
          <w:rFonts w:cstheme="minorHAnsi"/>
          <w:sz w:val="24"/>
          <w:szCs w:val="24"/>
        </w:rPr>
        <w:t xml:space="preserve">8 </w:t>
      </w:r>
      <w:r w:rsidRPr="00A31CC1">
        <w:rPr>
          <w:rFonts w:cstheme="minorHAnsi"/>
          <w:sz w:val="24"/>
          <w:szCs w:val="24"/>
        </w:rPr>
        <w:t>anni.</w:t>
      </w:r>
      <w:r w:rsidR="006727BD" w:rsidRPr="00A31CC1">
        <w:rPr>
          <w:rFonts w:cstheme="minorHAnsi"/>
          <w:sz w:val="24"/>
          <w:szCs w:val="24"/>
        </w:rPr>
        <w:t xml:space="preserve"> </w:t>
      </w:r>
      <w:r w:rsidR="00BE7CDB" w:rsidRPr="00A31CC1">
        <w:rPr>
          <w:rFonts w:cstheme="minorHAnsi"/>
          <w:sz w:val="24"/>
          <w:szCs w:val="24"/>
        </w:rPr>
        <w:t xml:space="preserve">Con l’eccezione dello studio di </w:t>
      </w:r>
      <w:proofErr w:type="spellStart"/>
      <w:r w:rsidR="00BE7CDB" w:rsidRPr="00A31CC1">
        <w:rPr>
          <w:rFonts w:cstheme="minorHAnsi"/>
          <w:sz w:val="24"/>
          <w:szCs w:val="24"/>
        </w:rPr>
        <w:t>bioequivalenza</w:t>
      </w:r>
      <w:proofErr w:type="spellEnd"/>
      <w:r w:rsidR="00BE7CDB" w:rsidRPr="00A31CC1">
        <w:rPr>
          <w:rFonts w:cstheme="minorHAnsi"/>
          <w:sz w:val="24"/>
          <w:szCs w:val="24"/>
        </w:rPr>
        <w:t>, non sono stati condotti nuovi studi clinici di farmacodinamica e farmacocinetica</w:t>
      </w:r>
      <w:r w:rsidR="00AD051C" w:rsidRPr="00A31CC1">
        <w:rPr>
          <w:rFonts w:cstheme="minorHAnsi"/>
          <w:sz w:val="24"/>
          <w:szCs w:val="24"/>
        </w:rPr>
        <w:t>.</w:t>
      </w:r>
    </w:p>
    <w:p w14:paraId="59EAC514" w14:textId="77777777" w:rsidR="00AD051C" w:rsidRPr="00A31CC1" w:rsidRDefault="00AD051C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9766BC" w14:textId="77777777" w:rsidR="006727BD" w:rsidRPr="00A31CC1" w:rsidRDefault="006727BD" w:rsidP="006727B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Studio di </w:t>
      </w:r>
      <w:proofErr w:type="spellStart"/>
      <w:r w:rsidRPr="00A31CC1">
        <w:rPr>
          <w:rFonts w:cstheme="minorHAnsi"/>
          <w:b/>
          <w:sz w:val="24"/>
          <w:szCs w:val="24"/>
        </w:rPr>
        <w:t>bioequivalenza</w:t>
      </w:r>
      <w:proofErr w:type="spellEnd"/>
    </w:p>
    <w:p w14:paraId="314D054D" w14:textId="14E34616" w:rsidR="005049A1" w:rsidRPr="008C736D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C736D">
        <w:rPr>
          <w:rFonts w:cstheme="minorHAnsi"/>
          <w:sz w:val="24"/>
          <w:szCs w:val="24"/>
        </w:rPr>
        <w:t xml:space="preserve">La richiesta di AIC è supportata da uno studio di </w:t>
      </w:r>
      <w:proofErr w:type="spellStart"/>
      <w:r w:rsidRPr="008C736D">
        <w:rPr>
          <w:rFonts w:cstheme="minorHAnsi"/>
          <w:sz w:val="24"/>
          <w:szCs w:val="24"/>
        </w:rPr>
        <w:t>bioequivalenza</w:t>
      </w:r>
      <w:proofErr w:type="spellEnd"/>
      <w:r w:rsidRPr="008C736D">
        <w:rPr>
          <w:rFonts w:cstheme="minorHAnsi"/>
          <w:sz w:val="24"/>
          <w:szCs w:val="24"/>
        </w:rPr>
        <w:t xml:space="preserve"> che ha confrontato i profili farmacocinetici di </w:t>
      </w:r>
      <w:r w:rsidR="0067181B" w:rsidRPr="008C736D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C56FA9" w:rsidRPr="008C736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8C736D">
        <w:rPr>
          <w:rFonts w:cstheme="minorHAnsi"/>
          <w:sz w:val="24"/>
          <w:szCs w:val="24"/>
        </w:rPr>
        <w:t xml:space="preserve">e quelli del medicinale di riferimento </w:t>
      </w:r>
      <w:proofErr w:type="spellStart"/>
      <w:r w:rsidR="005A37E4" w:rsidRPr="008C736D">
        <w:rPr>
          <w:rFonts w:cstheme="minorHAnsi"/>
          <w:sz w:val="24"/>
          <w:szCs w:val="24"/>
        </w:rPr>
        <w:t>Januvia</w:t>
      </w:r>
      <w:proofErr w:type="spellEnd"/>
      <w:r w:rsidR="005A37E4" w:rsidRPr="008C736D">
        <w:rPr>
          <w:rFonts w:cstheme="minorHAnsi"/>
          <w:sz w:val="24"/>
          <w:szCs w:val="24"/>
        </w:rPr>
        <w:t xml:space="preserve"> nel dosaggio da 100 mg.</w:t>
      </w:r>
    </w:p>
    <w:p w14:paraId="72D12DFE" w14:textId="77777777" w:rsidR="005049A1" w:rsidRPr="008C736D" w:rsidRDefault="005049A1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8C736D">
        <w:rPr>
          <w:rFonts w:cstheme="minorHAnsi"/>
          <w:sz w:val="24"/>
          <w:szCs w:val="24"/>
        </w:rPr>
        <w:t>Lo studio era caratterizzato da un appropriato disegno ed è stato condotto in accordo ai principi GCP.</w:t>
      </w:r>
    </w:p>
    <w:p w14:paraId="5DDE4D00" w14:textId="3FE73BB4" w:rsidR="005049A1" w:rsidRPr="008C736D" w:rsidRDefault="005049A1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8C736D">
        <w:rPr>
          <w:rFonts w:cstheme="minorHAnsi"/>
          <w:sz w:val="24"/>
          <w:szCs w:val="24"/>
        </w:rPr>
        <w:t>Sono stati forniti certificati analitici per medicinale test e medicinale di riferimento.</w:t>
      </w:r>
    </w:p>
    <w:p w14:paraId="24EA320C" w14:textId="77777777" w:rsidR="008C736D" w:rsidRPr="008C736D" w:rsidRDefault="008C736D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257095C" w14:textId="25FCD5FF" w:rsidR="008C736D" w:rsidRPr="008C736D" w:rsidRDefault="008C736D" w:rsidP="008C736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C736D">
        <w:rPr>
          <w:rFonts w:cstheme="minorHAnsi"/>
          <w:sz w:val="24"/>
          <w:szCs w:val="24"/>
        </w:rPr>
        <w:t xml:space="preserve">L’utilizzo del solo dosaggio maggiore 100 mg per lo studio di </w:t>
      </w:r>
      <w:proofErr w:type="spellStart"/>
      <w:r w:rsidRPr="008C736D">
        <w:rPr>
          <w:rFonts w:cstheme="minorHAnsi"/>
          <w:sz w:val="24"/>
          <w:szCs w:val="24"/>
        </w:rPr>
        <w:t>bioequivalenza</w:t>
      </w:r>
      <w:proofErr w:type="spellEnd"/>
      <w:r w:rsidRPr="008C736D">
        <w:rPr>
          <w:rFonts w:cstheme="minorHAnsi"/>
          <w:sz w:val="24"/>
          <w:szCs w:val="24"/>
        </w:rPr>
        <w:t xml:space="preserve"> è stato opportunamente giustificato.</w:t>
      </w:r>
    </w:p>
    <w:p w14:paraId="300EC2A6" w14:textId="77777777" w:rsidR="008C736D" w:rsidRPr="008C736D" w:rsidRDefault="008C736D" w:rsidP="008C73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4E24EF" w14:textId="32DE25FA" w:rsidR="008C736D" w:rsidRPr="008C736D" w:rsidRDefault="008C736D" w:rsidP="008C736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C736D">
        <w:rPr>
          <w:rFonts w:cstheme="minorHAnsi"/>
          <w:sz w:val="24"/>
          <w:szCs w:val="24"/>
        </w:rPr>
        <w:t xml:space="preserve">Lo studio di </w:t>
      </w:r>
      <w:proofErr w:type="spellStart"/>
      <w:r w:rsidRPr="008C736D">
        <w:rPr>
          <w:rFonts w:cstheme="minorHAnsi"/>
          <w:sz w:val="24"/>
          <w:szCs w:val="24"/>
        </w:rPr>
        <w:t>bioequivalenza</w:t>
      </w:r>
      <w:proofErr w:type="spellEnd"/>
      <w:r w:rsidRPr="008C736D">
        <w:rPr>
          <w:rFonts w:cstheme="minorHAnsi"/>
          <w:sz w:val="24"/>
          <w:szCs w:val="24"/>
        </w:rPr>
        <w:t xml:space="preserve"> è uno studio comparativo, randomizzato, a dose singola, 2-periodi, 2 sequenze, 2 trattamenti, crossover, condotto su 36 volontari sani con somministrazione a digiuno. Dopo una notte di digiuno, il medicinale è stato somministrato con acqua. Un soddisfacente periodo di wash-out di 10 giorni è stato previsto tra le somministrazioni in ogni gruppo.</w:t>
      </w:r>
    </w:p>
    <w:p w14:paraId="6DEBBB5D" w14:textId="77777777" w:rsidR="008C736D" w:rsidRPr="008C736D" w:rsidRDefault="008C736D" w:rsidP="008C73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7FD720" w14:textId="4A3B237A" w:rsidR="008C736D" w:rsidRPr="008C736D" w:rsidRDefault="008C736D" w:rsidP="008C736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C736D">
        <w:rPr>
          <w:rFonts w:cstheme="minorHAnsi"/>
          <w:sz w:val="24"/>
          <w:szCs w:val="24"/>
        </w:rPr>
        <w:t>Campioni di sangue sono stati prelevati al tempo zero (</w:t>
      </w:r>
      <w:proofErr w:type="spellStart"/>
      <w:r w:rsidRPr="008C736D">
        <w:rPr>
          <w:rFonts w:cstheme="minorHAnsi"/>
          <w:sz w:val="24"/>
          <w:szCs w:val="24"/>
        </w:rPr>
        <w:t>pre</w:t>
      </w:r>
      <w:proofErr w:type="spellEnd"/>
      <w:r w:rsidRPr="008C736D">
        <w:rPr>
          <w:rFonts w:cstheme="minorHAnsi"/>
          <w:sz w:val="24"/>
          <w:szCs w:val="24"/>
        </w:rPr>
        <w:t xml:space="preserve">-dose) e a specificati tempi fino a 48 ore dopo la somministrazione. I livelli plasmatici di </w:t>
      </w:r>
      <w:proofErr w:type="spellStart"/>
      <w:r w:rsidRPr="008C736D">
        <w:rPr>
          <w:rFonts w:cstheme="minorHAnsi"/>
          <w:sz w:val="24"/>
          <w:szCs w:val="24"/>
        </w:rPr>
        <w:t>sitagliptin</w:t>
      </w:r>
      <w:proofErr w:type="spellEnd"/>
      <w:r w:rsidRPr="008C736D">
        <w:rPr>
          <w:rFonts w:cstheme="minorHAnsi"/>
          <w:sz w:val="24"/>
          <w:szCs w:val="24"/>
        </w:rPr>
        <w:t xml:space="preserve"> sono stati determinati mediante un metodo analitico LC-ESI-MS/MS opportunamente convalidato.</w:t>
      </w:r>
    </w:p>
    <w:p w14:paraId="4E6C8F4F" w14:textId="4EF01BEA" w:rsidR="008C736D" w:rsidRDefault="008C736D" w:rsidP="008C73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6BB127" w14:textId="1B5592CB" w:rsidR="008C736D" w:rsidRDefault="008C736D" w:rsidP="008C736D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32 soggetti hanno completato lo studio.</w:t>
      </w:r>
    </w:p>
    <w:p w14:paraId="3CED3716" w14:textId="77777777" w:rsidR="006B45FF" w:rsidRPr="008C736D" w:rsidRDefault="006B45FF" w:rsidP="008C73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C2BBBE" w14:textId="5DB26BC0" w:rsidR="008C736D" w:rsidRPr="008C736D" w:rsidRDefault="008C736D" w:rsidP="008C73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8C736D">
        <w:rPr>
          <w:rFonts w:cstheme="minorHAnsi"/>
          <w:sz w:val="24"/>
          <w:szCs w:val="24"/>
        </w:rPr>
        <w:t xml:space="preserve">Sono state definite le seguenti variabili farmacocinetiche: </w:t>
      </w:r>
      <w:proofErr w:type="spellStart"/>
      <w:r w:rsidRPr="008C736D">
        <w:rPr>
          <w:rFonts w:cstheme="minorHAnsi"/>
          <w:sz w:val="24"/>
          <w:szCs w:val="24"/>
        </w:rPr>
        <w:t>C</w:t>
      </w:r>
      <w:r w:rsidRPr="008C736D">
        <w:rPr>
          <w:rFonts w:cstheme="minorHAnsi"/>
          <w:sz w:val="24"/>
          <w:szCs w:val="24"/>
          <w:vertAlign w:val="subscript"/>
        </w:rPr>
        <w:t>max</w:t>
      </w:r>
      <w:proofErr w:type="spellEnd"/>
      <w:r w:rsidRPr="008C736D">
        <w:rPr>
          <w:rFonts w:cstheme="minorHAnsi"/>
          <w:sz w:val="24"/>
          <w:szCs w:val="24"/>
        </w:rPr>
        <w:t xml:space="preserve"> e AUC</w:t>
      </w:r>
      <w:r w:rsidRPr="008C736D">
        <w:rPr>
          <w:rFonts w:cstheme="minorHAnsi"/>
          <w:sz w:val="24"/>
          <w:szCs w:val="24"/>
          <w:vertAlign w:val="subscript"/>
        </w:rPr>
        <w:t>0‐t,</w:t>
      </w:r>
      <w:r w:rsidRPr="008C736D">
        <w:rPr>
          <w:rFonts w:cstheme="minorHAnsi"/>
          <w:sz w:val="24"/>
          <w:szCs w:val="24"/>
        </w:rPr>
        <w:t xml:space="preserve"> AUC</w:t>
      </w:r>
      <w:r w:rsidRPr="008C736D">
        <w:rPr>
          <w:rFonts w:cstheme="minorHAnsi"/>
          <w:sz w:val="24"/>
          <w:szCs w:val="24"/>
          <w:vertAlign w:val="subscript"/>
        </w:rPr>
        <w:t>0‐∞,</w:t>
      </w:r>
      <w:r w:rsidRPr="008C736D">
        <w:rPr>
          <w:rFonts w:cstheme="minorHAnsi"/>
          <w:sz w:val="24"/>
          <w:szCs w:val="24"/>
        </w:rPr>
        <w:t xml:space="preserve"> </w:t>
      </w:r>
      <w:proofErr w:type="spellStart"/>
      <w:r w:rsidRPr="008C736D">
        <w:rPr>
          <w:rFonts w:cstheme="minorHAnsi"/>
          <w:sz w:val="24"/>
          <w:szCs w:val="24"/>
        </w:rPr>
        <w:t>T</w:t>
      </w:r>
      <w:r w:rsidRPr="008C736D">
        <w:rPr>
          <w:rFonts w:cstheme="minorHAnsi"/>
          <w:sz w:val="24"/>
          <w:szCs w:val="24"/>
          <w:vertAlign w:val="subscript"/>
        </w:rPr>
        <w:t>max</w:t>
      </w:r>
      <w:proofErr w:type="spellEnd"/>
      <w:r w:rsidRPr="008C736D">
        <w:rPr>
          <w:rFonts w:cstheme="minorHAnsi"/>
          <w:sz w:val="24"/>
          <w:szCs w:val="24"/>
        </w:rPr>
        <w:t xml:space="preserve">, </w:t>
      </w:r>
      <w:proofErr w:type="spellStart"/>
      <w:r w:rsidRPr="008C736D">
        <w:rPr>
          <w:i/>
          <w:sz w:val="24"/>
          <w:szCs w:val="24"/>
          <w:lang w:val="en-US"/>
        </w:rPr>
        <w:t>λ</w:t>
      </w:r>
      <w:r w:rsidRPr="008C736D">
        <w:rPr>
          <w:i/>
          <w:sz w:val="24"/>
          <w:szCs w:val="24"/>
          <w:vertAlign w:val="subscript"/>
          <w:lang w:val="en-US"/>
        </w:rPr>
        <w:t>z</w:t>
      </w:r>
      <w:proofErr w:type="spellEnd"/>
      <w:r w:rsidRPr="008C736D">
        <w:rPr>
          <w:i/>
          <w:sz w:val="24"/>
          <w:szCs w:val="24"/>
          <w:lang w:val="en-US"/>
        </w:rPr>
        <w:t>, AUC</w:t>
      </w:r>
      <w:r w:rsidRPr="008C736D">
        <w:rPr>
          <w:i/>
          <w:sz w:val="24"/>
          <w:szCs w:val="24"/>
          <w:vertAlign w:val="subscript"/>
          <w:lang w:val="en-US"/>
        </w:rPr>
        <w:t>0-t</w:t>
      </w:r>
      <w:r w:rsidRPr="008C736D">
        <w:rPr>
          <w:i/>
          <w:sz w:val="24"/>
          <w:szCs w:val="24"/>
          <w:lang w:val="en-US"/>
        </w:rPr>
        <w:t>/AUC</w:t>
      </w:r>
      <w:r w:rsidRPr="008C736D">
        <w:rPr>
          <w:i/>
          <w:sz w:val="24"/>
          <w:szCs w:val="24"/>
          <w:vertAlign w:val="subscript"/>
          <w:lang w:val="en-US"/>
        </w:rPr>
        <w:t>0-∞</w:t>
      </w:r>
      <w:r w:rsidRPr="008C736D">
        <w:rPr>
          <w:i/>
          <w:sz w:val="24"/>
          <w:szCs w:val="24"/>
          <w:lang w:val="en-US"/>
        </w:rPr>
        <w:t xml:space="preserve">, AUC_% </w:t>
      </w:r>
      <w:proofErr w:type="spellStart"/>
      <w:r w:rsidRPr="008C736D">
        <w:rPr>
          <w:i/>
          <w:sz w:val="24"/>
          <w:szCs w:val="24"/>
          <w:vertAlign w:val="subscript"/>
          <w:lang w:val="en-US"/>
        </w:rPr>
        <w:t>Extrap_obs</w:t>
      </w:r>
      <w:proofErr w:type="spellEnd"/>
      <w:r w:rsidRPr="008C736D">
        <w:rPr>
          <w:i/>
          <w:sz w:val="24"/>
          <w:szCs w:val="24"/>
          <w:lang w:val="en-US"/>
        </w:rPr>
        <w:t xml:space="preserve">, </w:t>
      </w:r>
      <w:proofErr w:type="spellStart"/>
      <w:r w:rsidRPr="008C736D">
        <w:rPr>
          <w:i/>
          <w:sz w:val="24"/>
          <w:szCs w:val="24"/>
          <w:lang w:val="en-US"/>
        </w:rPr>
        <w:t>λ</w:t>
      </w:r>
      <w:r w:rsidRPr="008C736D">
        <w:rPr>
          <w:i/>
          <w:sz w:val="24"/>
          <w:szCs w:val="24"/>
          <w:vertAlign w:val="subscript"/>
          <w:lang w:val="en-US"/>
        </w:rPr>
        <w:t>z</w:t>
      </w:r>
      <w:proofErr w:type="spellEnd"/>
      <w:r w:rsidRPr="008C736D">
        <w:rPr>
          <w:i/>
          <w:sz w:val="24"/>
          <w:szCs w:val="24"/>
          <w:lang w:val="en-US"/>
        </w:rPr>
        <w:t xml:space="preserve"> and t</w:t>
      </w:r>
      <w:r w:rsidRPr="008C736D">
        <w:rPr>
          <w:i/>
          <w:sz w:val="24"/>
          <w:szCs w:val="24"/>
          <w:vertAlign w:val="subscript"/>
          <w:lang w:val="en-US"/>
        </w:rPr>
        <w:t xml:space="preserve">1/2 </w:t>
      </w:r>
      <w:r w:rsidRPr="008C736D">
        <w:rPr>
          <w:rFonts w:cstheme="minorHAnsi"/>
          <w:sz w:val="24"/>
          <w:szCs w:val="24"/>
        </w:rPr>
        <w:t xml:space="preserve">. </w:t>
      </w:r>
    </w:p>
    <w:p w14:paraId="0AA92D09" w14:textId="77777777" w:rsidR="008C736D" w:rsidRPr="008C736D" w:rsidRDefault="008C736D" w:rsidP="008C73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E79F7D3" w14:textId="448AB487" w:rsidR="005049A1" w:rsidRPr="008C736D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8C736D">
        <w:rPr>
          <w:rFonts w:asciiTheme="minorHAnsi" w:hAnsiTheme="minorHAnsi" w:cstheme="minorHAnsi"/>
          <w:b w:val="0"/>
          <w:szCs w:val="24"/>
          <w:lang w:val="it-IT"/>
        </w:rPr>
        <w:t xml:space="preserve">La sintesi dei risultati dello studio di </w:t>
      </w:r>
      <w:proofErr w:type="spellStart"/>
      <w:r w:rsidRPr="008C736D">
        <w:rPr>
          <w:rFonts w:asciiTheme="minorHAnsi" w:hAnsiTheme="minorHAnsi" w:cstheme="minorHAnsi"/>
          <w:b w:val="0"/>
          <w:szCs w:val="24"/>
          <w:lang w:val="it-IT"/>
        </w:rPr>
        <w:t>bioequivalenza</w:t>
      </w:r>
      <w:proofErr w:type="spellEnd"/>
      <w:r w:rsidRPr="008C736D">
        <w:rPr>
          <w:rFonts w:asciiTheme="minorHAnsi" w:hAnsiTheme="minorHAnsi" w:cstheme="minorHAnsi"/>
          <w:b w:val="0"/>
          <w:szCs w:val="24"/>
          <w:lang w:val="it-IT"/>
        </w:rPr>
        <w:t xml:space="preserve"> è riportata nella tabella che segue.</w:t>
      </w:r>
    </w:p>
    <w:p w14:paraId="183C6B53" w14:textId="77777777" w:rsidR="005A37E4" w:rsidRPr="008C736D" w:rsidRDefault="005A37E4" w:rsidP="005A37E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6"/>
        <w:gridCol w:w="2214"/>
        <w:gridCol w:w="1851"/>
        <w:gridCol w:w="2214"/>
        <w:gridCol w:w="812"/>
        <w:gridCol w:w="812"/>
      </w:tblGrid>
      <w:tr w:rsidR="008C736D" w:rsidRPr="008C736D" w14:paraId="659D09B4" w14:textId="77777777" w:rsidTr="006B45F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3705CFB" w14:textId="0F136D6C" w:rsidR="005A37E4" w:rsidRPr="008C736D" w:rsidRDefault="005A37E4" w:rsidP="008C736D">
            <w:pPr>
              <w:spacing w:after="0"/>
              <w:rPr>
                <w:rFonts w:eastAsia="Times New Roman" w:cstheme="minorHAnsi"/>
                <w:b/>
                <w:bCs/>
                <w:lang w:val="de-DE" w:eastAsia="fi-FI"/>
              </w:rPr>
            </w:pPr>
            <w:proofErr w:type="spellStart"/>
            <w:r w:rsidRPr="008C736D">
              <w:rPr>
                <w:rFonts w:eastAsia="Times New Roman" w:cstheme="minorHAnsi"/>
                <w:b/>
                <w:bCs/>
                <w:lang w:val="de-DE" w:eastAsia="fi-FI"/>
              </w:rPr>
              <w:t>Trattamento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8ABD875" w14:textId="77777777" w:rsidR="005A37E4" w:rsidRPr="008C736D" w:rsidRDefault="005A37E4" w:rsidP="008C736D">
            <w:pPr>
              <w:spacing w:after="0"/>
              <w:jc w:val="center"/>
              <w:rPr>
                <w:rFonts w:eastAsia="Times New Roman" w:cstheme="minorHAnsi"/>
                <w:b/>
                <w:bCs/>
                <w:lang w:val="de-DE" w:eastAsia="fi-FI"/>
              </w:rPr>
            </w:pPr>
            <w:r w:rsidRPr="008C736D">
              <w:rPr>
                <w:rFonts w:eastAsia="Times New Roman" w:cstheme="minorHAnsi"/>
                <w:b/>
                <w:bCs/>
                <w:lang w:val="de-DE" w:eastAsia="fi-FI"/>
              </w:rPr>
              <w:t>AUC</w:t>
            </w:r>
            <w:r w:rsidRPr="008C736D"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0-t</w:t>
            </w:r>
          </w:p>
          <w:p w14:paraId="039BE117" w14:textId="77777777" w:rsidR="005A37E4" w:rsidRPr="008C736D" w:rsidRDefault="005A37E4" w:rsidP="008C736D">
            <w:pPr>
              <w:spacing w:after="0"/>
              <w:jc w:val="center"/>
              <w:rPr>
                <w:rFonts w:eastAsia="Times New Roman" w:cstheme="minorHAnsi"/>
                <w:bCs/>
                <w:lang w:val="de-DE" w:eastAsia="fi-FI"/>
              </w:rPr>
            </w:pPr>
            <w:proofErr w:type="spellStart"/>
            <w:r w:rsidRPr="008C736D">
              <w:rPr>
                <w:rFonts w:eastAsia="Times New Roman" w:cstheme="minorHAnsi"/>
                <w:bCs/>
                <w:lang w:val="de-DE" w:eastAsia="fi-FI"/>
              </w:rPr>
              <w:t>ng</w:t>
            </w:r>
            <w:proofErr w:type="spellEnd"/>
            <w:r w:rsidRPr="008C736D">
              <w:rPr>
                <w:rFonts w:eastAsia="Times New Roman" w:cstheme="minorHAnsi"/>
                <w:bCs/>
                <w:lang w:val="de-DE" w:eastAsia="fi-FI"/>
              </w:rPr>
              <w:t>/ml/h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E16E801" w14:textId="77777777" w:rsidR="005A37E4" w:rsidRPr="008C736D" w:rsidRDefault="005A37E4" w:rsidP="008C736D">
            <w:pPr>
              <w:spacing w:after="0"/>
              <w:jc w:val="center"/>
              <w:rPr>
                <w:rFonts w:eastAsia="Times New Roman" w:cstheme="minorHAnsi"/>
                <w:b/>
                <w:bCs/>
                <w:lang w:val="en-GB" w:eastAsia="fi-FI"/>
              </w:rPr>
            </w:pPr>
            <w:r w:rsidRPr="008C736D">
              <w:rPr>
                <w:rFonts w:eastAsia="Times New Roman" w:cstheme="minorHAnsi"/>
                <w:b/>
                <w:bCs/>
                <w:lang w:val="en-GB" w:eastAsia="fi-FI"/>
              </w:rPr>
              <w:t>AUC</w:t>
            </w:r>
            <w:r w:rsidRPr="008C736D">
              <w:rPr>
                <w:rFonts w:eastAsia="Times New Roman" w:cstheme="minorHAnsi"/>
                <w:b/>
                <w:bCs/>
                <w:vertAlign w:val="subscript"/>
                <w:lang w:val="en-GB" w:eastAsia="fi-FI"/>
              </w:rPr>
              <w:t>0-∞</w:t>
            </w:r>
          </w:p>
          <w:p w14:paraId="1FCF2E21" w14:textId="77777777" w:rsidR="005A37E4" w:rsidRPr="008C736D" w:rsidRDefault="005A37E4" w:rsidP="008C736D">
            <w:pPr>
              <w:spacing w:after="0"/>
              <w:jc w:val="center"/>
              <w:rPr>
                <w:rFonts w:eastAsia="Times New Roman" w:cstheme="minorHAnsi"/>
                <w:bCs/>
                <w:lang w:val="en-GB" w:eastAsia="fi-FI"/>
              </w:rPr>
            </w:pPr>
            <w:r w:rsidRPr="008C736D">
              <w:rPr>
                <w:rFonts w:eastAsia="Times New Roman" w:cstheme="minorHAnsi"/>
                <w:bCs/>
                <w:lang w:val="en-GB" w:eastAsia="fi-FI"/>
              </w:rPr>
              <w:t>ng/ml/h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A297191" w14:textId="77777777" w:rsidR="005A37E4" w:rsidRPr="008C736D" w:rsidRDefault="005A37E4" w:rsidP="008C736D">
            <w:pPr>
              <w:spacing w:after="0"/>
              <w:jc w:val="center"/>
              <w:rPr>
                <w:rFonts w:eastAsia="Times New Roman" w:cstheme="minorHAnsi"/>
                <w:b/>
                <w:bCs/>
                <w:lang w:val="en-GB" w:eastAsia="fi-FI"/>
              </w:rPr>
            </w:pPr>
            <w:proofErr w:type="spellStart"/>
            <w:r w:rsidRPr="008C736D">
              <w:rPr>
                <w:rFonts w:eastAsia="Times New Roman" w:cstheme="minorHAnsi"/>
                <w:b/>
                <w:bCs/>
                <w:lang w:val="en-GB" w:eastAsia="fi-FI"/>
              </w:rPr>
              <w:t>C</w:t>
            </w:r>
            <w:r w:rsidRPr="008C736D">
              <w:rPr>
                <w:rFonts w:eastAsia="Times New Roman" w:cstheme="minorHAnsi"/>
                <w:b/>
                <w:bCs/>
                <w:vertAlign w:val="subscript"/>
                <w:lang w:val="en-GB" w:eastAsia="fi-FI"/>
              </w:rPr>
              <w:t>max</w:t>
            </w:r>
            <w:proofErr w:type="spellEnd"/>
          </w:p>
          <w:p w14:paraId="52F6AFC0" w14:textId="77777777" w:rsidR="005A37E4" w:rsidRPr="008C736D" w:rsidRDefault="005A37E4" w:rsidP="008C736D">
            <w:pPr>
              <w:spacing w:after="0"/>
              <w:jc w:val="center"/>
              <w:rPr>
                <w:rFonts w:eastAsia="Times New Roman" w:cstheme="minorHAnsi"/>
                <w:bCs/>
                <w:lang w:val="en-GB" w:eastAsia="fi-FI"/>
              </w:rPr>
            </w:pPr>
            <w:r w:rsidRPr="008C736D">
              <w:rPr>
                <w:rFonts w:eastAsia="Times New Roman" w:cstheme="minorHAnsi"/>
                <w:bCs/>
                <w:lang w:val="en-GB" w:eastAsia="fi-FI"/>
              </w:rPr>
              <w:t>ng/ml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CC13E0D" w14:textId="77777777" w:rsidR="005A37E4" w:rsidRPr="008C736D" w:rsidRDefault="005A37E4" w:rsidP="008C736D">
            <w:pPr>
              <w:spacing w:after="0"/>
              <w:jc w:val="center"/>
              <w:rPr>
                <w:rFonts w:eastAsia="Times New Roman" w:cstheme="minorHAnsi"/>
                <w:b/>
                <w:bCs/>
                <w:lang w:val="de-DE" w:eastAsia="fi-FI"/>
              </w:rPr>
            </w:pPr>
            <w:proofErr w:type="spellStart"/>
            <w:r w:rsidRPr="008C736D">
              <w:rPr>
                <w:rFonts w:eastAsia="Times New Roman" w:cstheme="minorHAnsi"/>
                <w:b/>
                <w:bCs/>
                <w:lang w:val="de-DE" w:eastAsia="fi-FI"/>
              </w:rPr>
              <w:t>t</w:t>
            </w:r>
            <w:r w:rsidRPr="008C736D">
              <w:rPr>
                <w:rFonts w:eastAsia="Times New Roman" w:cstheme="minorHAnsi"/>
                <w:b/>
                <w:bCs/>
                <w:vertAlign w:val="subscript"/>
                <w:lang w:val="de-DE" w:eastAsia="fi-FI"/>
              </w:rPr>
              <w:t>max</w:t>
            </w:r>
            <w:proofErr w:type="spellEnd"/>
          </w:p>
          <w:p w14:paraId="7C7668BD" w14:textId="77777777" w:rsidR="005A37E4" w:rsidRPr="008C736D" w:rsidRDefault="005A37E4" w:rsidP="008C736D">
            <w:pPr>
              <w:spacing w:after="0"/>
              <w:jc w:val="center"/>
              <w:rPr>
                <w:rFonts w:eastAsia="Times New Roman" w:cstheme="minorHAnsi"/>
                <w:bCs/>
                <w:lang w:val="de-DE" w:eastAsia="fi-FI"/>
              </w:rPr>
            </w:pPr>
            <w:r w:rsidRPr="008C736D">
              <w:rPr>
                <w:rFonts w:eastAsia="Times New Roman" w:cstheme="minorHAnsi"/>
                <w:bCs/>
                <w:lang w:val="de-DE" w:eastAsia="fi-FI"/>
              </w:rPr>
              <w:t>h</w:t>
            </w:r>
          </w:p>
        </w:tc>
      </w:tr>
      <w:tr w:rsidR="008C736D" w:rsidRPr="008C736D" w14:paraId="4FC1659A" w14:textId="77777777" w:rsidTr="006B45F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48A1FB9" w14:textId="77777777" w:rsidR="005A37E4" w:rsidRPr="008C736D" w:rsidRDefault="005A37E4" w:rsidP="005A37E4">
            <w:pPr>
              <w:rPr>
                <w:rFonts w:eastAsia="Times New Roman" w:cstheme="minorHAnsi"/>
                <w:b/>
                <w:bCs/>
                <w:lang w:val="de-DE" w:eastAsia="fi-FI"/>
              </w:rPr>
            </w:pPr>
            <w:r w:rsidRPr="008C736D">
              <w:rPr>
                <w:rFonts w:eastAsia="Times New Roman" w:cstheme="minorHAnsi"/>
                <w:b/>
                <w:bCs/>
                <w:lang w:val="de-DE" w:eastAsia="fi-FI"/>
              </w:rPr>
              <w:t>Test</w:t>
            </w:r>
          </w:p>
          <w:p w14:paraId="51EFD42C" w14:textId="77777777" w:rsidR="005A37E4" w:rsidRPr="008C736D" w:rsidRDefault="005A37E4" w:rsidP="005A37E4">
            <w:pPr>
              <w:rPr>
                <w:rFonts w:eastAsia="Times New Roman" w:cstheme="minorHAnsi"/>
                <w:b/>
                <w:bCs/>
                <w:lang w:val="de-DE" w:eastAsia="fi-F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8AB7F43" w14:textId="77777777" w:rsidR="005A37E4" w:rsidRPr="008C736D" w:rsidRDefault="005A37E4" w:rsidP="005A37E4">
            <w:pPr>
              <w:rPr>
                <w:rFonts w:eastAsia="Times New Roman" w:cstheme="minorHAnsi"/>
                <w:bCs/>
                <w:sz w:val="20"/>
                <w:lang w:val="de-DE" w:eastAsia="fi-FI"/>
              </w:rPr>
            </w:pPr>
            <w:r w:rsidRPr="008C736D">
              <w:rPr>
                <w:rFonts w:eastAsia="Times New Roman" w:cstheme="minorHAnsi"/>
                <w:bCs/>
                <w:sz w:val="20"/>
                <w:lang w:val="de-DE" w:eastAsia="fi-FI"/>
              </w:rPr>
              <w:t>3774.474 ± 492.0093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63E2107" w14:textId="77777777" w:rsidR="005A37E4" w:rsidRPr="008C736D" w:rsidRDefault="005A37E4" w:rsidP="005A37E4">
            <w:pPr>
              <w:rPr>
                <w:rFonts w:eastAsia="Times New Roman" w:cstheme="minorHAnsi"/>
                <w:bCs/>
                <w:sz w:val="20"/>
                <w:lang w:val="en-GB" w:eastAsia="fi-FI"/>
              </w:rPr>
            </w:pPr>
            <w:r w:rsidRPr="008C736D">
              <w:rPr>
                <w:rFonts w:eastAsia="Times New Roman" w:cstheme="minorHAnsi"/>
                <w:bCs/>
                <w:sz w:val="20"/>
                <w:lang w:val="en-GB" w:eastAsia="fi-FI"/>
              </w:rPr>
              <w:t>3848.676 ± 507.5313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885F4C3" w14:textId="77777777" w:rsidR="005A37E4" w:rsidRPr="008C736D" w:rsidRDefault="005A37E4" w:rsidP="005A37E4">
            <w:pPr>
              <w:rPr>
                <w:rFonts w:eastAsia="Times New Roman" w:cstheme="minorHAnsi"/>
                <w:bCs/>
                <w:sz w:val="20"/>
                <w:lang w:val="en-GB" w:eastAsia="fi-FI"/>
              </w:rPr>
            </w:pPr>
            <w:r w:rsidRPr="008C736D">
              <w:rPr>
                <w:rFonts w:eastAsia="Times New Roman" w:cstheme="minorHAnsi"/>
                <w:bCs/>
                <w:sz w:val="20"/>
                <w:lang w:val="en-GB" w:eastAsia="fi-FI"/>
              </w:rPr>
              <w:t>386.621 ± 86.6779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60BDA45" w14:textId="77777777" w:rsidR="005A37E4" w:rsidRPr="008C736D" w:rsidRDefault="005A37E4" w:rsidP="005A37E4">
            <w:pPr>
              <w:rPr>
                <w:rFonts w:eastAsia="Times New Roman" w:cstheme="minorHAnsi"/>
                <w:bCs/>
                <w:sz w:val="20"/>
                <w:lang w:val="de-DE" w:eastAsia="fi-FI"/>
              </w:rPr>
            </w:pPr>
            <w:r w:rsidRPr="008C736D">
              <w:rPr>
                <w:rFonts w:eastAsia="Times New Roman" w:cstheme="minorHAnsi"/>
                <w:bCs/>
                <w:sz w:val="20"/>
                <w:lang w:val="de-DE" w:eastAsia="fi-FI"/>
              </w:rPr>
              <w:t>3.000 (1.00 - 5.00)</w:t>
            </w:r>
          </w:p>
        </w:tc>
      </w:tr>
      <w:tr w:rsidR="008C736D" w:rsidRPr="008C736D" w14:paraId="3C8733AB" w14:textId="77777777" w:rsidTr="006B45F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963AB4C" w14:textId="77777777" w:rsidR="005A37E4" w:rsidRPr="008C736D" w:rsidRDefault="005A37E4" w:rsidP="005A37E4">
            <w:pPr>
              <w:rPr>
                <w:rFonts w:eastAsia="Times New Roman" w:cstheme="minorHAnsi"/>
                <w:b/>
                <w:bCs/>
                <w:lang w:val="de-DE" w:eastAsia="fi-FI"/>
              </w:rPr>
            </w:pPr>
            <w:r w:rsidRPr="008C736D">
              <w:rPr>
                <w:rFonts w:eastAsia="Times New Roman" w:cstheme="minorHAnsi"/>
                <w:b/>
                <w:bCs/>
                <w:lang w:val="de-DE" w:eastAsia="fi-FI"/>
              </w:rPr>
              <w:t>Reference</w:t>
            </w:r>
          </w:p>
          <w:p w14:paraId="0FAF6119" w14:textId="77777777" w:rsidR="005A37E4" w:rsidRPr="008C736D" w:rsidRDefault="005A37E4" w:rsidP="005A37E4">
            <w:pPr>
              <w:rPr>
                <w:rFonts w:eastAsia="Times New Roman" w:cstheme="minorHAnsi"/>
                <w:b/>
                <w:bCs/>
                <w:lang w:val="de-DE" w:eastAsia="fi-F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2CB16E" w14:textId="77777777" w:rsidR="005A37E4" w:rsidRPr="008C736D" w:rsidRDefault="005A37E4" w:rsidP="005A37E4">
            <w:pPr>
              <w:rPr>
                <w:rFonts w:eastAsia="Times New Roman" w:cstheme="minorHAnsi"/>
                <w:bCs/>
                <w:sz w:val="20"/>
                <w:lang w:val="de-DE" w:eastAsia="fi-FI"/>
              </w:rPr>
            </w:pPr>
            <w:r w:rsidRPr="008C736D">
              <w:rPr>
                <w:rFonts w:eastAsia="Times New Roman" w:cstheme="minorHAnsi"/>
                <w:bCs/>
                <w:sz w:val="20"/>
                <w:lang w:val="de-DE" w:eastAsia="fi-FI"/>
              </w:rPr>
              <w:t>3811.750 ± 537.0370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B9FAF64" w14:textId="77777777" w:rsidR="005A37E4" w:rsidRPr="008C736D" w:rsidRDefault="005A37E4" w:rsidP="005A37E4">
            <w:pPr>
              <w:rPr>
                <w:rFonts w:eastAsia="Times New Roman" w:cstheme="minorHAnsi"/>
                <w:bCs/>
                <w:sz w:val="20"/>
                <w:lang w:val="en-GB" w:eastAsia="fi-FI"/>
              </w:rPr>
            </w:pPr>
            <w:r w:rsidRPr="008C736D">
              <w:rPr>
                <w:rFonts w:eastAsia="Times New Roman" w:cstheme="minorHAnsi"/>
                <w:bCs/>
                <w:sz w:val="20"/>
                <w:lang w:val="en-GB" w:eastAsia="fi-FI"/>
              </w:rPr>
              <w:t>3886.721 ± 553.4705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8184E6C" w14:textId="77777777" w:rsidR="005A37E4" w:rsidRPr="008C736D" w:rsidRDefault="005A37E4" w:rsidP="005A37E4">
            <w:pPr>
              <w:rPr>
                <w:rFonts w:eastAsia="Times New Roman" w:cstheme="minorHAnsi"/>
                <w:bCs/>
                <w:sz w:val="20"/>
                <w:lang w:val="en-GB" w:eastAsia="fi-FI"/>
              </w:rPr>
            </w:pPr>
            <w:r w:rsidRPr="008C736D">
              <w:rPr>
                <w:rFonts w:eastAsia="Times New Roman" w:cstheme="minorHAnsi"/>
                <w:bCs/>
                <w:sz w:val="20"/>
                <w:lang w:val="en-GB" w:eastAsia="fi-FI"/>
              </w:rPr>
              <w:t>390.401 ± 75.6505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7853677" w14:textId="77777777" w:rsidR="005A37E4" w:rsidRPr="008C736D" w:rsidRDefault="005A37E4" w:rsidP="005A37E4">
            <w:pPr>
              <w:rPr>
                <w:rFonts w:eastAsia="Times New Roman" w:cstheme="minorHAnsi"/>
                <w:bCs/>
                <w:sz w:val="20"/>
                <w:lang w:val="de-DE" w:eastAsia="fi-FI"/>
              </w:rPr>
            </w:pPr>
            <w:r w:rsidRPr="008C736D">
              <w:rPr>
                <w:rFonts w:eastAsia="Times New Roman" w:cstheme="minorHAnsi"/>
                <w:bCs/>
                <w:sz w:val="20"/>
                <w:lang w:val="de-DE" w:eastAsia="fi-FI"/>
              </w:rPr>
              <w:t>2.330 (0.67 - 6.00)</w:t>
            </w:r>
          </w:p>
        </w:tc>
      </w:tr>
      <w:tr w:rsidR="008C736D" w:rsidRPr="008C736D" w14:paraId="171010F4" w14:textId="77777777" w:rsidTr="006B45F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9D6090E" w14:textId="77777777" w:rsidR="005A37E4" w:rsidRPr="008C736D" w:rsidRDefault="005A37E4" w:rsidP="005A37E4">
            <w:pPr>
              <w:rPr>
                <w:rFonts w:eastAsia="Times New Roman" w:cstheme="minorHAnsi"/>
                <w:b/>
                <w:bCs/>
                <w:lang w:val="de-DE" w:eastAsia="fi-FI"/>
              </w:rPr>
            </w:pPr>
            <w:r w:rsidRPr="008C736D">
              <w:rPr>
                <w:rFonts w:eastAsia="Times New Roman" w:cstheme="minorHAnsi"/>
                <w:b/>
                <w:bCs/>
                <w:lang w:val="de-DE" w:eastAsia="fi-FI"/>
              </w:rPr>
              <w:lastRenderedPageBreak/>
              <w:t>*Ratio (90% CI)</w:t>
            </w:r>
          </w:p>
          <w:p w14:paraId="13262113" w14:textId="77777777" w:rsidR="005A37E4" w:rsidRPr="008C736D" w:rsidRDefault="005A37E4" w:rsidP="005A37E4">
            <w:pPr>
              <w:rPr>
                <w:rFonts w:eastAsia="Times New Roman" w:cstheme="minorHAnsi"/>
                <w:b/>
                <w:bCs/>
                <w:lang w:val="de-DE" w:eastAsia="fi-F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CF9837" w14:textId="77777777" w:rsidR="005A37E4" w:rsidRPr="008C736D" w:rsidRDefault="005A37E4" w:rsidP="005A37E4">
            <w:pPr>
              <w:rPr>
                <w:rFonts w:eastAsia="Times New Roman" w:cstheme="minorHAnsi"/>
                <w:bCs/>
                <w:sz w:val="20"/>
                <w:lang w:val="de-DE" w:eastAsia="fi-FI"/>
              </w:rPr>
            </w:pPr>
            <w:r w:rsidRPr="008C736D">
              <w:rPr>
                <w:rFonts w:eastAsia="Times New Roman" w:cstheme="minorHAnsi"/>
                <w:bCs/>
                <w:sz w:val="20"/>
                <w:lang w:val="de-DE" w:eastAsia="fi-FI"/>
              </w:rPr>
              <w:t>99.14 (96.23% - 102.14%)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F0F464F" w14:textId="77777777" w:rsidR="005A37E4" w:rsidRPr="008C736D" w:rsidRDefault="005A37E4" w:rsidP="005A37E4">
            <w:pPr>
              <w:spacing w:after="0" w:line="240" w:lineRule="auto"/>
              <w:rPr>
                <w:rFonts w:eastAsia="Times New Roman" w:cstheme="minorHAnsi"/>
                <w:bCs/>
                <w:sz w:val="20"/>
                <w:lang w:val="en-GB" w:eastAsia="fi-F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808ED62" w14:textId="77777777" w:rsidR="005A37E4" w:rsidRPr="008C736D" w:rsidRDefault="005A37E4" w:rsidP="005A37E4">
            <w:pPr>
              <w:rPr>
                <w:rFonts w:eastAsia="Times New Roman" w:cstheme="minorHAnsi"/>
                <w:bCs/>
                <w:sz w:val="20"/>
                <w:lang w:val="en-GB" w:eastAsia="fi-FI"/>
              </w:rPr>
            </w:pPr>
            <w:r w:rsidRPr="008C736D">
              <w:rPr>
                <w:rFonts w:eastAsia="Times New Roman" w:cstheme="minorHAnsi"/>
                <w:bCs/>
                <w:sz w:val="20"/>
                <w:lang w:val="en-GB" w:eastAsia="fi-FI"/>
              </w:rPr>
              <w:t>98.42 (90.78% - 106.71%)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987BAA4" w14:textId="77777777" w:rsidR="005A37E4" w:rsidRPr="008C736D" w:rsidRDefault="005A37E4" w:rsidP="005A37E4">
            <w:pPr>
              <w:rPr>
                <w:rFonts w:eastAsia="Times New Roman" w:cstheme="minorHAnsi"/>
                <w:bCs/>
                <w:sz w:val="20"/>
                <w:lang w:val="de-DE" w:eastAsia="fi-FI"/>
              </w:rPr>
            </w:pPr>
          </w:p>
        </w:tc>
      </w:tr>
      <w:tr w:rsidR="005A37E4" w:rsidRPr="008C736D" w14:paraId="74B9BB68" w14:textId="77777777" w:rsidTr="006B45FF">
        <w:tblPrEx>
          <w:tblLook w:val="04A0" w:firstRow="1" w:lastRow="0" w:firstColumn="1" w:lastColumn="0" w:noHBand="0" w:noVBand="1"/>
        </w:tblPrEx>
        <w:trPr>
          <w:gridAfter w:val="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F46C" w14:textId="5DEB5B76" w:rsidR="005A37E4" w:rsidRPr="008C736D" w:rsidRDefault="005A37E4" w:rsidP="00F1631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Cs/>
                <w:sz w:val="16"/>
              </w:rPr>
            </w:pPr>
            <w:r w:rsidRPr="008C736D">
              <w:rPr>
                <w:rFonts w:cstheme="minorHAnsi"/>
                <w:bCs/>
                <w:sz w:val="16"/>
              </w:rPr>
              <w:t>AUC0-</w:t>
            </w:r>
            <w:proofErr w:type="gramStart"/>
            <w:r w:rsidRPr="008C736D">
              <w:rPr>
                <w:rFonts w:cstheme="minorHAnsi"/>
                <w:bCs/>
                <w:sz w:val="16"/>
              </w:rPr>
              <w:t>t  Area</w:t>
            </w:r>
            <w:proofErr w:type="gramEnd"/>
            <w:r w:rsidRPr="008C736D">
              <w:rPr>
                <w:rFonts w:cstheme="minorHAnsi"/>
                <w:bCs/>
                <w:sz w:val="16"/>
              </w:rPr>
              <w:t xml:space="preserve"> sotto la curva dal tempo zero al tempo t</w:t>
            </w:r>
          </w:p>
          <w:p w14:paraId="7EDAA966" w14:textId="77777777" w:rsidR="005A37E4" w:rsidRPr="008C736D" w:rsidRDefault="005A37E4" w:rsidP="00F16316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Cs/>
                <w:sz w:val="16"/>
              </w:rPr>
            </w:pPr>
            <w:proofErr w:type="spellStart"/>
            <w:r w:rsidRPr="008C736D">
              <w:rPr>
                <w:rFonts w:cstheme="minorHAnsi"/>
                <w:bCs/>
                <w:sz w:val="16"/>
              </w:rPr>
              <w:t>Cmax</w:t>
            </w:r>
            <w:proofErr w:type="spellEnd"/>
            <w:r w:rsidRPr="008C736D">
              <w:rPr>
                <w:rFonts w:cstheme="minorHAnsi"/>
                <w:bCs/>
                <w:sz w:val="16"/>
              </w:rPr>
              <w:t xml:space="preserve"> </w:t>
            </w:r>
            <w:r w:rsidRPr="008C736D">
              <w:rPr>
                <w:rFonts w:cstheme="minorHAnsi"/>
                <w:bCs/>
                <w:sz w:val="16"/>
              </w:rPr>
              <w:tab/>
              <w:t xml:space="preserve">Concentrazione plasmatica massima </w:t>
            </w:r>
          </w:p>
          <w:p w14:paraId="22E63631" w14:textId="25A1A9EA" w:rsidR="005A37E4" w:rsidRPr="008C736D" w:rsidRDefault="005A37E4" w:rsidP="005A37E4">
            <w:pPr>
              <w:pStyle w:val="Sarkain2"/>
              <w:tabs>
                <w:tab w:val="center" w:pos="4429"/>
              </w:tabs>
              <w:ind w:left="0"/>
              <w:jc w:val="both"/>
              <w:rPr>
                <w:rFonts w:asciiTheme="minorHAnsi" w:hAnsiTheme="minorHAnsi" w:cstheme="minorHAnsi"/>
                <w:b w:val="0"/>
                <w:sz w:val="20"/>
                <w:lang w:val="en-GB"/>
              </w:rPr>
            </w:pPr>
            <w:r w:rsidRPr="008C736D">
              <w:rPr>
                <w:rFonts w:asciiTheme="minorHAnsi" w:hAnsiTheme="minorHAnsi" w:cstheme="minorHAnsi"/>
                <w:b w:val="0"/>
                <w:bCs/>
                <w:sz w:val="16"/>
              </w:rPr>
              <w:t>tmax            Tempo al picco di concentrazione plasmatica</w:t>
            </w:r>
          </w:p>
        </w:tc>
      </w:tr>
    </w:tbl>
    <w:p w14:paraId="6297464E" w14:textId="775BDF85" w:rsidR="00F44B8C" w:rsidRPr="00F44B8C" w:rsidRDefault="00F44B8C" w:rsidP="00132B98"/>
    <w:p w14:paraId="7EDC26F9" w14:textId="77777777" w:rsidR="005049A1" w:rsidRPr="00A31CC1" w:rsidRDefault="005049A1" w:rsidP="005049A1">
      <w:pPr>
        <w:spacing w:after="0" w:line="240" w:lineRule="auto"/>
        <w:rPr>
          <w:rFonts w:cstheme="minorHAnsi"/>
          <w:sz w:val="24"/>
          <w:szCs w:val="24"/>
        </w:rPr>
      </w:pPr>
      <w:r w:rsidRPr="00A31CC1">
        <w:rPr>
          <w:rFonts w:cstheme="minorHAnsi"/>
          <w:i/>
          <w:sz w:val="24"/>
          <w:szCs w:val="24"/>
        </w:rPr>
        <w:t xml:space="preserve">Conclusioni sulla </w:t>
      </w:r>
      <w:proofErr w:type="spellStart"/>
      <w:r w:rsidRPr="00A31CC1">
        <w:rPr>
          <w:rFonts w:cstheme="minorHAnsi"/>
          <w:i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>.</w:t>
      </w:r>
    </w:p>
    <w:p w14:paraId="5ED01465" w14:textId="392E97A5" w:rsidR="005049A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 risultati degli studi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mostrano che gli intervalli di confidenza dei parametri farmacocinetici studiati cadono nel range di accettabilità di 80-125%, in accordo con le linee guida correnti.</w:t>
      </w:r>
    </w:p>
    <w:p w14:paraId="4B7C75C0" w14:textId="77777777" w:rsidR="00F16316" w:rsidRPr="00A31CC1" w:rsidRDefault="00F16316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32C50E" w14:textId="1E4E23F2" w:rsidR="004631F3" w:rsidRDefault="004631F3" w:rsidP="004631F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I risultati dello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</w:t>
      </w:r>
      <w:r w:rsidR="005A37E4" w:rsidRPr="005A37E4">
        <w:rPr>
          <w:rFonts w:cstheme="minorHAnsi"/>
          <w:sz w:val="24"/>
          <w:szCs w:val="24"/>
        </w:rPr>
        <w:t>20-VIN-0397</w:t>
      </w:r>
      <w:r w:rsidRPr="00A31CC1">
        <w:rPr>
          <w:rFonts w:cstheme="minorHAnsi"/>
          <w:sz w:val="24"/>
          <w:szCs w:val="24"/>
        </w:rPr>
        <w:t xml:space="preserve">condotto con il dosaggio da </w:t>
      </w:r>
      <w:r w:rsidR="005A37E4">
        <w:rPr>
          <w:rFonts w:cstheme="minorHAnsi"/>
          <w:sz w:val="24"/>
          <w:szCs w:val="24"/>
        </w:rPr>
        <w:t xml:space="preserve">100 </w:t>
      </w:r>
      <w:r w:rsidRPr="00A31CC1">
        <w:rPr>
          <w:rFonts w:cstheme="minorHAnsi"/>
          <w:sz w:val="24"/>
          <w:szCs w:val="24"/>
        </w:rPr>
        <w:t xml:space="preserve">mg </w:t>
      </w:r>
      <w:r w:rsidR="008C736D">
        <w:rPr>
          <w:rFonts w:cstheme="minorHAnsi"/>
          <w:sz w:val="24"/>
          <w:szCs w:val="24"/>
        </w:rPr>
        <w:t>possono</w:t>
      </w:r>
      <w:r w:rsidRPr="00A31CC1">
        <w:rPr>
          <w:rFonts w:cstheme="minorHAnsi"/>
          <w:sz w:val="24"/>
          <w:szCs w:val="24"/>
        </w:rPr>
        <w:t xml:space="preserve"> essere estrapolat</w:t>
      </w:r>
      <w:r w:rsidR="008C736D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agli altri dosaggi da </w:t>
      </w:r>
      <w:r w:rsidR="005A37E4">
        <w:rPr>
          <w:rFonts w:cstheme="minorHAnsi"/>
          <w:sz w:val="24"/>
          <w:szCs w:val="24"/>
        </w:rPr>
        <w:t xml:space="preserve">25 e 50 </w:t>
      </w:r>
      <w:r w:rsidRPr="00A31CC1">
        <w:rPr>
          <w:rFonts w:cstheme="minorHAnsi"/>
          <w:sz w:val="24"/>
          <w:szCs w:val="24"/>
        </w:rPr>
        <w:t xml:space="preserve">mg, </w:t>
      </w:r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in quanto sono stati soddisfatti i requisiti per la concessione del waiver di cui al paragrafo 4.1.6 della linea guida </w:t>
      </w:r>
      <w:r w:rsidR="00F76F77" w:rsidRPr="00A31CC1">
        <w:rPr>
          <w:rFonts w:cstheme="minorHAnsi"/>
          <w:sz w:val="24"/>
          <w:szCs w:val="24"/>
        </w:rPr>
        <w:t xml:space="preserve">Guideline on the </w:t>
      </w:r>
      <w:proofErr w:type="spellStart"/>
      <w:r w:rsidR="00F76F77" w:rsidRPr="00A31CC1">
        <w:rPr>
          <w:rFonts w:cstheme="minorHAnsi"/>
          <w:sz w:val="24"/>
          <w:szCs w:val="24"/>
        </w:rPr>
        <w:t>Investigation</w:t>
      </w:r>
      <w:proofErr w:type="spellEnd"/>
      <w:r w:rsidR="00F76F77" w:rsidRPr="00A31CC1">
        <w:rPr>
          <w:rFonts w:cstheme="minorHAnsi"/>
          <w:sz w:val="24"/>
          <w:szCs w:val="24"/>
        </w:rPr>
        <w:t xml:space="preserve"> of </w:t>
      </w:r>
      <w:proofErr w:type="spellStart"/>
      <w:r w:rsidR="00F76F77" w:rsidRPr="00A31CC1">
        <w:rPr>
          <w:rFonts w:cstheme="minorHAnsi"/>
          <w:sz w:val="24"/>
          <w:szCs w:val="24"/>
        </w:rPr>
        <w:t>Bioequivalence</w:t>
      </w:r>
      <w:proofErr w:type="spellEnd"/>
      <w:r w:rsidR="00F76F77" w:rsidRPr="00A31CC1">
        <w:rPr>
          <w:rFonts w:cstheme="minorHAnsi"/>
          <w:sz w:val="24"/>
          <w:szCs w:val="24"/>
        </w:rPr>
        <w:t xml:space="preserve"> </w:t>
      </w:r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>CPMP/EWP/QWP/98 rev.1/</w:t>
      </w:r>
      <w:proofErr w:type="spellStart"/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>Corr</w:t>
      </w:r>
      <w:proofErr w:type="spellEnd"/>
      <w:r w:rsidR="00F76F77" w:rsidRPr="00A31CC1">
        <w:rPr>
          <w:rFonts w:eastAsia="Times New Roman" w:cstheme="minorHAnsi"/>
          <w:bCs/>
          <w:color w:val="000000"/>
          <w:sz w:val="24"/>
          <w:szCs w:val="24"/>
          <w:lang w:eastAsia="it-IT"/>
        </w:rPr>
        <w:t>**</w:t>
      </w:r>
      <w:r w:rsidR="00F16316">
        <w:rPr>
          <w:rFonts w:eastAsia="Times New Roman" w:cstheme="minorHAnsi"/>
          <w:bCs/>
          <w:color w:val="000000"/>
          <w:sz w:val="24"/>
          <w:szCs w:val="24"/>
          <w:lang w:eastAsia="it-IT"/>
        </w:rPr>
        <w:t xml:space="preserve">: </w:t>
      </w:r>
    </w:p>
    <w:p w14:paraId="36C5B3A3" w14:textId="77777777" w:rsidR="00F16316" w:rsidRPr="00A31CC1" w:rsidRDefault="00F16316" w:rsidP="004631F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13700A89" w14:textId="15DF2384" w:rsidR="00F16316" w:rsidRPr="00CD1F09" w:rsidRDefault="004631F3" w:rsidP="00F16316">
      <w:pPr>
        <w:pStyle w:val="Rientronormale"/>
        <w:numPr>
          <w:ilvl w:val="0"/>
          <w:numId w:val="10"/>
        </w:numPr>
        <w:ind w:left="709"/>
        <w:jc w:val="both"/>
        <w:rPr>
          <w:i/>
          <w:lang w:val="en-GB"/>
        </w:rPr>
      </w:pPr>
      <w:r w:rsidRPr="00A31CC1">
        <w:rPr>
          <w:rFonts w:cstheme="minorHAnsi"/>
          <w:szCs w:val="24"/>
        </w:rPr>
        <w:t xml:space="preserve"> </w:t>
      </w:r>
      <w:r w:rsidR="00F16316" w:rsidRPr="00CD1F09">
        <w:rPr>
          <w:lang w:val="en-GB"/>
        </w:rPr>
        <w:t xml:space="preserve">Sitagliptin 25mg, 50mg </w:t>
      </w:r>
      <w:r w:rsidR="00F16316">
        <w:rPr>
          <w:lang w:val="en-GB"/>
        </w:rPr>
        <w:t>e</w:t>
      </w:r>
      <w:r w:rsidR="00F16316" w:rsidRPr="00CD1F09">
        <w:rPr>
          <w:lang w:val="en-GB"/>
        </w:rPr>
        <w:t xml:space="preserve"> 100mg </w:t>
      </w:r>
      <w:proofErr w:type="spellStart"/>
      <w:r w:rsidR="00F16316">
        <w:rPr>
          <w:lang w:val="en-GB"/>
        </w:rPr>
        <w:t>compresse</w:t>
      </w:r>
      <w:proofErr w:type="spellEnd"/>
      <w:r w:rsidR="00F16316">
        <w:rPr>
          <w:lang w:val="en-GB"/>
        </w:rPr>
        <w:t xml:space="preserve"> </w:t>
      </w:r>
      <w:proofErr w:type="spellStart"/>
      <w:r w:rsidR="00F16316">
        <w:rPr>
          <w:lang w:val="en-GB"/>
        </w:rPr>
        <w:t>sono</w:t>
      </w:r>
      <w:proofErr w:type="spellEnd"/>
      <w:r w:rsidR="00F16316">
        <w:rPr>
          <w:lang w:val="en-GB"/>
        </w:rPr>
        <w:t xml:space="preserve"> </w:t>
      </w:r>
      <w:proofErr w:type="spellStart"/>
      <w:r w:rsidR="00F16316">
        <w:rPr>
          <w:lang w:val="en-GB"/>
        </w:rPr>
        <w:t>prodotti</w:t>
      </w:r>
      <w:proofErr w:type="spellEnd"/>
      <w:r w:rsidR="00F16316">
        <w:rPr>
          <w:lang w:val="en-GB"/>
        </w:rPr>
        <w:t xml:space="preserve"> </w:t>
      </w:r>
      <w:proofErr w:type="spellStart"/>
      <w:r w:rsidR="00F16316">
        <w:rPr>
          <w:lang w:val="en-GB"/>
        </w:rPr>
        <w:t>usando</w:t>
      </w:r>
      <w:proofErr w:type="spellEnd"/>
      <w:r w:rsidR="00F16316">
        <w:rPr>
          <w:lang w:val="en-GB"/>
        </w:rPr>
        <w:t xml:space="preserve"> lo </w:t>
      </w:r>
      <w:proofErr w:type="spellStart"/>
      <w:r w:rsidR="00F16316">
        <w:rPr>
          <w:lang w:val="en-GB"/>
        </w:rPr>
        <w:t>stesso</w:t>
      </w:r>
      <w:proofErr w:type="spellEnd"/>
      <w:r w:rsidR="00F16316">
        <w:rPr>
          <w:lang w:val="en-GB"/>
        </w:rPr>
        <w:t xml:space="preserve"> </w:t>
      </w:r>
      <w:proofErr w:type="spellStart"/>
      <w:r w:rsidR="00F16316">
        <w:rPr>
          <w:lang w:val="en-GB"/>
        </w:rPr>
        <w:t>processo</w:t>
      </w:r>
      <w:proofErr w:type="spellEnd"/>
      <w:r w:rsidR="00F16316">
        <w:rPr>
          <w:lang w:val="en-GB"/>
        </w:rPr>
        <w:t xml:space="preserve"> </w:t>
      </w:r>
      <w:proofErr w:type="spellStart"/>
      <w:r w:rsidR="00F16316">
        <w:rPr>
          <w:lang w:val="en-GB"/>
        </w:rPr>
        <w:t>produttivo</w:t>
      </w:r>
      <w:proofErr w:type="spellEnd"/>
      <w:r w:rsidR="00F16316">
        <w:rPr>
          <w:lang w:val="en-GB"/>
        </w:rPr>
        <w:t>;</w:t>
      </w:r>
    </w:p>
    <w:p w14:paraId="4C50F320" w14:textId="7C319CCB" w:rsidR="00F16316" w:rsidRPr="00CD1F09" w:rsidRDefault="00F16316" w:rsidP="00F16316">
      <w:pPr>
        <w:pStyle w:val="Rientronormale"/>
        <w:numPr>
          <w:ilvl w:val="0"/>
          <w:numId w:val="10"/>
        </w:numPr>
        <w:ind w:left="709"/>
        <w:jc w:val="both"/>
        <w:rPr>
          <w:i/>
          <w:lang w:val="en-GB"/>
        </w:rPr>
      </w:pPr>
      <w:r>
        <w:rPr>
          <w:lang w:val="en-GB"/>
        </w:rPr>
        <w:t xml:space="preserve">La </w:t>
      </w:r>
      <w:proofErr w:type="spellStart"/>
      <w:r>
        <w:rPr>
          <w:lang w:val="en-GB"/>
        </w:rPr>
        <w:t>composizione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qualitativa</w:t>
      </w:r>
      <w:proofErr w:type="spellEnd"/>
      <w:r>
        <w:rPr>
          <w:lang w:val="en-GB"/>
        </w:rPr>
        <w:t xml:space="preserve"> di </w:t>
      </w:r>
      <w:proofErr w:type="spellStart"/>
      <w:r w:rsidRPr="00CD1F09">
        <w:rPr>
          <w:lang w:val="en-GB"/>
        </w:rPr>
        <w:t>Sitagliptin</w:t>
      </w:r>
      <w:proofErr w:type="spellEnd"/>
      <w:r w:rsidRPr="00CD1F09">
        <w:rPr>
          <w:lang w:val="en-GB"/>
        </w:rPr>
        <w:t xml:space="preserve"> 25mg, 50mg </w:t>
      </w:r>
      <w:r>
        <w:rPr>
          <w:lang w:val="en-GB"/>
        </w:rPr>
        <w:t>e</w:t>
      </w:r>
      <w:r w:rsidRPr="00CD1F09">
        <w:rPr>
          <w:lang w:val="en-GB"/>
        </w:rPr>
        <w:t xml:space="preserve"> 100mg </w:t>
      </w:r>
      <w:proofErr w:type="spellStart"/>
      <w:r>
        <w:rPr>
          <w:lang w:val="en-GB"/>
        </w:rPr>
        <w:t>compresse</w:t>
      </w:r>
      <w:proofErr w:type="spellEnd"/>
      <w:r>
        <w:rPr>
          <w:lang w:val="en-GB"/>
        </w:rPr>
        <w:t xml:space="preserve"> </w:t>
      </w:r>
      <w:r w:rsidRPr="00CD1F09">
        <w:rPr>
          <w:lang w:val="en-GB"/>
        </w:rPr>
        <w:t xml:space="preserve"> </w:t>
      </w:r>
      <w:r>
        <w:rPr>
          <w:lang w:val="en-GB"/>
        </w:rPr>
        <w:t xml:space="preserve">è la </w:t>
      </w:r>
      <w:proofErr w:type="spellStart"/>
      <w:r>
        <w:rPr>
          <w:lang w:val="en-GB"/>
        </w:rPr>
        <w:t>stessa</w:t>
      </w:r>
      <w:proofErr w:type="spellEnd"/>
      <w:r>
        <w:rPr>
          <w:lang w:val="en-GB"/>
        </w:rPr>
        <w:t xml:space="preserve"> per </w:t>
      </w:r>
      <w:proofErr w:type="spellStart"/>
      <w:r>
        <w:rPr>
          <w:lang w:val="en-GB"/>
        </w:rPr>
        <w:t>tutti</w:t>
      </w:r>
      <w:proofErr w:type="spellEnd"/>
      <w:r>
        <w:rPr>
          <w:lang w:val="en-GB"/>
        </w:rPr>
        <w:t xml:space="preserve"> I </w:t>
      </w:r>
      <w:proofErr w:type="spellStart"/>
      <w:r>
        <w:rPr>
          <w:lang w:val="en-GB"/>
        </w:rPr>
        <w:t>dosaggi</w:t>
      </w:r>
      <w:proofErr w:type="spellEnd"/>
      <w:r>
        <w:rPr>
          <w:lang w:val="en-GB"/>
        </w:rPr>
        <w:t>;</w:t>
      </w:r>
    </w:p>
    <w:p w14:paraId="588BE5CB" w14:textId="3BB5432D" w:rsidR="00F16316" w:rsidRPr="00CD1F09" w:rsidRDefault="00F16316" w:rsidP="00F16316">
      <w:pPr>
        <w:pStyle w:val="Rientronormale"/>
        <w:numPr>
          <w:ilvl w:val="0"/>
          <w:numId w:val="10"/>
        </w:numPr>
        <w:ind w:left="709"/>
        <w:jc w:val="both"/>
        <w:rPr>
          <w:i/>
          <w:lang w:val="en-GB"/>
        </w:rPr>
      </w:pPr>
      <w:r w:rsidRPr="00CD1F09">
        <w:rPr>
          <w:lang w:val="en-GB"/>
        </w:rPr>
        <w:t xml:space="preserve">Sitagliptin 25mg, 50mg </w:t>
      </w:r>
      <w:r>
        <w:rPr>
          <w:lang w:val="en-GB"/>
        </w:rPr>
        <w:t>e</w:t>
      </w:r>
      <w:r w:rsidRPr="00CD1F09">
        <w:rPr>
          <w:lang w:val="en-GB"/>
        </w:rPr>
        <w:t xml:space="preserve"> 100mg </w:t>
      </w:r>
      <w:proofErr w:type="spellStart"/>
      <w:r>
        <w:rPr>
          <w:lang w:val="en-GB"/>
        </w:rPr>
        <w:t>compresse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hanno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formulazioni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quantitativamente</w:t>
      </w:r>
      <w:proofErr w:type="spellEnd"/>
      <w:r>
        <w:rPr>
          <w:lang w:val="en-GB"/>
        </w:rPr>
        <w:t xml:space="preserve"> </w:t>
      </w:r>
      <w:proofErr w:type="spellStart"/>
      <w:r w:rsidRPr="00CD1F09">
        <w:rPr>
          <w:lang w:val="en-GB"/>
        </w:rPr>
        <w:t>propor</w:t>
      </w:r>
      <w:r>
        <w:rPr>
          <w:lang w:val="en-GB"/>
        </w:rPr>
        <w:t>z</w:t>
      </w:r>
      <w:r w:rsidRPr="00CD1F09">
        <w:rPr>
          <w:lang w:val="en-GB"/>
        </w:rPr>
        <w:t>ional</w:t>
      </w:r>
      <w:r>
        <w:rPr>
          <w:lang w:val="en-GB"/>
        </w:rPr>
        <w:t>i</w:t>
      </w:r>
      <w:proofErr w:type="spellEnd"/>
      <w:r w:rsidRPr="00CD1F09">
        <w:rPr>
          <w:lang w:val="en-GB"/>
        </w:rPr>
        <w:t xml:space="preserve">. </w:t>
      </w:r>
      <w:r>
        <w:rPr>
          <w:lang w:val="en-GB"/>
        </w:rPr>
        <w:t xml:space="preserve">Il </w:t>
      </w:r>
      <w:proofErr w:type="spellStart"/>
      <w:r>
        <w:rPr>
          <w:lang w:val="en-GB"/>
        </w:rPr>
        <w:t>rapporto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della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quantità</w:t>
      </w:r>
      <w:proofErr w:type="spellEnd"/>
      <w:r>
        <w:rPr>
          <w:lang w:val="en-GB"/>
        </w:rPr>
        <w:t xml:space="preserve"> di principio </w:t>
      </w:r>
      <w:proofErr w:type="spellStart"/>
      <w:r>
        <w:rPr>
          <w:lang w:val="en-GB"/>
        </w:rPr>
        <w:t>attivo</w:t>
      </w:r>
      <w:proofErr w:type="spellEnd"/>
      <w:r>
        <w:rPr>
          <w:lang w:val="en-GB"/>
        </w:rPr>
        <w:t xml:space="preserve"> e </w:t>
      </w:r>
      <w:proofErr w:type="spellStart"/>
      <w:r>
        <w:rPr>
          <w:lang w:val="en-GB"/>
        </w:rPr>
        <w:t>degli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eccipienti</w:t>
      </w:r>
      <w:proofErr w:type="spellEnd"/>
      <w:r>
        <w:rPr>
          <w:lang w:val="en-GB"/>
        </w:rPr>
        <w:t xml:space="preserve"> è lo </w:t>
      </w:r>
      <w:proofErr w:type="spellStart"/>
      <w:r>
        <w:rPr>
          <w:lang w:val="en-GB"/>
        </w:rPr>
        <w:t>stesso</w:t>
      </w:r>
      <w:proofErr w:type="spellEnd"/>
      <w:r>
        <w:rPr>
          <w:lang w:val="en-GB"/>
        </w:rPr>
        <w:t xml:space="preserve"> in </w:t>
      </w:r>
      <w:proofErr w:type="spellStart"/>
      <w:r>
        <w:rPr>
          <w:lang w:val="en-GB"/>
        </w:rPr>
        <w:t>tutti</w:t>
      </w:r>
      <w:proofErr w:type="spellEnd"/>
      <w:r>
        <w:rPr>
          <w:lang w:val="en-GB"/>
        </w:rPr>
        <w:t xml:space="preserve"> </w:t>
      </w:r>
      <w:proofErr w:type="spellStart"/>
      <w:r w:rsidR="006B45FF">
        <w:rPr>
          <w:lang w:val="en-GB"/>
        </w:rPr>
        <w:t>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dosaggi</w:t>
      </w:r>
      <w:proofErr w:type="spellEnd"/>
      <w:r>
        <w:rPr>
          <w:lang w:val="en-GB"/>
        </w:rPr>
        <w:t>.</w:t>
      </w:r>
    </w:p>
    <w:p w14:paraId="09FB8E6A" w14:textId="334E7A36" w:rsidR="00F16316" w:rsidRPr="00CD1F09" w:rsidRDefault="00F16316" w:rsidP="00F16316">
      <w:pPr>
        <w:pStyle w:val="Rientronormale"/>
        <w:numPr>
          <w:ilvl w:val="0"/>
          <w:numId w:val="10"/>
        </w:numPr>
        <w:ind w:left="709" w:hanging="425"/>
        <w:jc w:val="both"/>
        <w:rPr>
          <w:i/>
          <w:lang w:val="en-GB"/>
        </w:rPr>
      </w:pPr>
      <w:r>
        <w:rPr>
          <w:lang w:val="en-GB"/>
        </w:rPr>
        <w:t xml:space="preserve">Il </w:t>
      </w:r>
      <w:proofErr w:type="spellStart"/>
      <w:r>
        <w:rPr>
          <w:lang w:val="en-GB"/>
        </w:rPr>
        <w:t>profilo</w:t>
      </w:r>
      <w:proofErr w:type="spellEnd"/>
      <w:r>
        <w:rPr>
          <w:lang w:val="en-GB"/>
        </w:rPr>
        <w:t xml:space="preserve"> di </w:t>
      </w:r>
      <w:proofErr w:type="spellStart"/>
      <w:r>
        <w:rPr>
          <w:lang w:val="en-GB"/>
        </w:rPr>
        <w:t>dissoluzione</w:t>
      </w:r>
      <w:proofErr w:type="spellEnd"/>
      <w:r>
        <w:rPr>
          <w:lang w:val="en-GB"/>
        </w:rPr>
        <w:t xml:space="preserve"> di </w:t>
      </w:r>
      <w:proofErr w:type="spellStart"/>
      <w:r w:rsidRPr="00CD1F09">
        <w:rPr>
          <w:lang w:val="en-GB"/>
        </w:rPr>
        <w:t>Sitagliptin</w:t>
      </w:r>
      <w:proofErr w:type="spellEnd"/>
      <w:r w:rsidRPr="00CD1F09">
        <w:rPr>
          <w:lang w:val="en-GB"/>
        </w:rPr>
        <w:t xml:space="preserve"> 100mg </w:t>
      </w:r>
      <w:proofErr w:type="spellStart"/>
      <w:r>
        <w:rPr>
          <w:lang w:val="en-GB"/>
        </w:rPr>
        <w:t>compresse</w:t>
      </w:r>
      <w:proofErr w:type="spellEnd"/>
      <w:r w:rsidRPr="00CD1F09">
        <w:rPr>
          <w:lang w:val="en-GB"/>
        </w:rPr>
        <w:t xml:space="preserve"> (Tes</w:t>
      </w:r>
      <w:r>
        <w:rPr>
          <w:lang w:val="en-GB"/>
        </w:rPr>
        <w:t>t</w:t>
      </w:r>
      <w:r w:rsidRPr="00CD1F09">
        <w:rPr>
          <w:lang w:val="en-GB"/>
        </w:rPr>
        <w:t xml:space="preserve">) Vs </w:t>
      </w:r>
      <w:proofErr w:type="spellStart"/>
      <w:r w:rsidRPr="00CD1F09">
        <w:rPr>
          <w:lang w:val="en-GB"/>
        </w:rPr>
        <w:t>Sitagliptin</w:t>
      </w:r>
      <w:proofErr w:type="spellEnd"/>
      <w:r w:rsidRPr="00CD1F09">
        <w:rPr>
          <w:lang w:val="en-GB"/>
        </w:rPr>
        <w:t xml:space="preserve"> </w:t>
      </w:r>
      <w:r>
        <w:rPr>
          <w:lang w:val="en-GB"/>
        </w:rPr>
        <w:t>5</w:t>
      </w:r>
      <w:r w:rsidRPr="00CD1F09">
        <w:rPr>
          <w:lang w:val="en-GB"/>
        </w:rPr>
        <w:t xml:space="preserve">0mg (Test) </w:t>
      </w:r>
      <w:r>
        <w:rPr>
          <w:lang w:val="en-GB"/>
        </w:rPr>
        <w:t>e</w:t>
      </w:r>
      <w:r w:rsidRPr="00CD1F09">
        <w:rPr>
          <w:lang w:val="en-GB"/>
        </w:rPr>
        <w:t xml:space="preserve"> Vs 25mg (Test) </w:t>
      </w:r>
      <w:proofErr w:type="spellStart"/>
      <w:r>
        <w:rPr>
          <w:lang w:val="en-GB"/>
        </w:rPr>
        <w:t>compresse</w:t>
      </w:r>
      <w:proofErr w:type="spellEnd"/>
      <w:r w:rsidRPr="00CD1F09">
        <w:rPr>
          <w:lang w:val="en-GB"/>
        </w:rPr>
        <w:t xml:space="preserve"> </w:t>
      </w:r>
      <w:r>
        <w:rPr>
          <w:lang w:val="en-GB"/>
        </w:rPr>
        <w:t>è</w:t>
      </w:r>
      <w:r w:rsidRPr="00CD1F09">
        <w:rPr>
          <w:lang w:val="en-GB"/>
        </w:rPr>
        <w:t xml:space="preserve"> simil</w:t>
      </w:r>
      <w:r>
        <w:rPr>
          <w:lang w:val="en-GB"/>
        </w:rPr>
        <w:t>e</w:t>
      </w:r>
      <w:r w:rsidRPr="00CD1F09">
        <w:rPr>
          <w:lang w:val="en-GB"/>
        </w:rPr>
        <w:t>.</w:t>
      </w:r>
    </w:p>
    <w:p w14:paraId="40BE7444" w14:textId="77777777" w:rsidR="00AD051C" w:rsidRPr="00A31CC1" w:rsidRDefault="00AD051C" w:rsidP="00AD051C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33CE9A1C" w14:textId="54C1EDE4" w:rsidR="005049A1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Efficacia e sicurezza clinica</w:t>
      </w:r>
    </w:p>
    <w:p w14:paraId="17FAF5EC" w14:textId="524A482F"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Non sono stati presentati nuovi dati di efficacia e sicurezza clinica: il profilo di sicur</w:t>
      </w:r>
      <w:r w:rsidR="00F90F1F" w:rsidRPr="00A31CC1">
        <w:rPr>
          <w:rFonts w:cstheme="minorHAnsi"/>
          <w:sz w:val="24"/>
          <w:szCs w:val="24"/>
        </w:rPr>
        <w:t>ezza e l’efficacia del principi</w:t>
      </w:r>
      <w:r w:rsidR="008C736D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8C736D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di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 </w:t>
      </w:r>
      <w:r w:rsidRPr="00A31CC1">
        <w:rPr>
          <w:rFonts w:cstheme="minorHAnsi"/>
          <w:sz w:val="24"/>
          <w:szCs w:val="24"/>
        </w:rPr>
        <w:t xml:space="preserve">è ben conosciuto. </w:t>
      </w:r>
    </w:p>
    <w:p w14:paraId="00F355D9" w14:textId="77777777" w:rsidR="004B5B15" w:rsidRPr="0075392D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311AE2" w14:textId="77777777" w:rsidR="004E5A39" w:rsidRPr="0075392D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75392D">
        <w:rPr>
          <w:rFonts w:cstheme="minorHAnsi"/>
          <w:b/>
          <w:sz w:val="24"/>
          <w:szCs w:val="24"/>
        </w:rPr>
        <w:t>Piano di Valutazione del Rischio (</w:t>
      </w:r>
      <w:r w:rsidRPr="0075392D">
        <w:rPr>
          <w:rFonts w:cstheme="minorHAnsi"/>
          <w:b/>
          <w:i/>
          <w:sz w:val="24"/>
          <w:szCs w:val="24"/>
        </w:rPr>
        <w:t>Risk Management Plan</w:t>
      </w:r>
      <w:r w:rsidRPr="0075392D">
        <w:rPr>
          <w:rFonts w:cstheme="minorHAnsi"/>
          <w:b/>
          <w:sz w:val="24"/>
          <w:szCs w:val="24"/>
        </w:rPr>
        <w:t xml:space="preserve"> - RMP)</w:t>
      </w:r>
    </w:p>
    <w:p w14:paraId="3A83B46C" w14:textId="77777777" w:rsidR="0075392D" w:rsidRPr="0075392D" w:rsidRDefault="0075392D" w:rsidP="0075392D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gramStart"/>
      <w:r w:rsidRPr="0075392D">
        <w:rPr>
          <w:rFonts w:eastAsia="Calibri" w:cstheme="minorHAnsi"/>
          <w:color w:val="000000"/>
          <w:sz w:val="24"/>
          <w:szCs w:val="24"/>
          <w:lang w:eastAsia="it-IT"/>
        </w:rPr>
        <w:t>E’</w:t>
      </w:r>
      <w:proofErr w:type="gramEnd"/>
      <w:r w:rsidRPr="0075392D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Pr="0075392D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Pr="0075392D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SITAGLIPTIN ABDI.</w:t>
      </w:r>
    </w:p>
    <w:p w14:paraId="69AD576B" w14:textId="77777777" w:rsidR="0075392D" w:rsidRPr="0075392D" w:rsidRDefault="0075392D" w:rsidP="0075392D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75392D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39FF88F3" w14:textId="77777777" w:rsidR="0075392D" w:rsidRPr="0075392D" w:rsidRDefault="0075392D" w:rsidP="0075392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114"/>
        <w:gridCol w:w="5642"/>
      </w:tblGrid>
      <w:tr w:rsidR="0075392D" w:rsidRPr="0075392D" w14:paraId="2619DE92" w14:textId="77777777" w:rsidTr="002B1415">
        <w:trPr>
          <w:jc w:val="center"/>
        </w:trPr>
        <w:tc>
          <w:tcPr>
            <w:tcW w:w="1778" w:type="pct"/>
            <w:shd w:val="clear" w:color="auto" w:fill="auto"/>
          </w:tcPr>
          <w:p w14:paraId="1B35AD65" w14:textId="77777777" w:rsidR="0075392D" w:rsidRPr="0075392D" w:rsidRDefault="0075392D" w:rsidP="002B1415">
            <w:pPr>
              <w:pStyle w:val="TabletextrowsAgency"/>
              <w:spacing w:line="240" w:lineRule="auto"/>
              <w:jc w:val="both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75392D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it-IT" w:eastAsia="it-IT"/>
              </w:rPr>
              <w:t>Rischi importanti identificati</w:t>
            </w:r>
          </w:p>
        </w:tc>
        <w:tc>
          <w:tcPr>
            <w:tcW w:w="3222" w:type="pct"/>
            <w:shd w:val="clear" w:color="auto" w:fill="auto"/>
          </w:tcPr>
          <w:p w14:paraId="7549AA5E" w14:textId="77777777" w:rsidR="0075392D" w:rsidRPr="0075392D" w:rsidRDefault="0075392D" w:rsidP="002B1415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75392D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>Nessuno</w:t>
            </w:r>
          </w:p>
        </w:tc>
      </w:tr>
      <w:tr w:rsidR="0075392D" w:rsidRPr="0075392D" w14:paraId="3E2D99F8" w14:textId="77777777" w:rsidTr="002B1415">
        <w:trPr>
          <w:jc w:val="center"/>
        </w:trPr>
        <w:tc>
          <w:tcPr>
            <w:tcW w:w="1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7C5BC8" w14:textId="77777777" w:rsidR="0075392D" w:rsidRPr="0075392D" w:rsidRDefault="0075392D" w:rsidP="002B1415">
            <w:pPr>
              <w:pStyle w:val="TabletextrowsAgency"/>
              <w:spacing w:line="240" w:lineRule="auto"/>
              <w:jc w:val="both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75392D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it-IT" w:eastAsia="it-IT"/>
              </w:rPr>
              <w:t>Rischi importanti potenziali</w:t>
            </w:r>
          </w:p>
        </w:tc>
        <w:tc>
          <w:tcPr>
            <w:tcW w:w="3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2D9F234" w14:textId="77777777" w:rsidR="0075392D" w:rsidRPr="0075392D" w:rsidRDefault="0075392D" w:rsidP="002B1415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75392D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>Cancro pancreatico</w:t>
            </w:r>
          </w:p>
        </w:tc>
      </w:tr>
      <w:tr w:rsidR="0075392D" w:rsidRPr="0075392D" w14:paraId="7B6B1BBD" w14:textId="77777777" w:rsidTr="002B1415">
        <w:trPr>
          <w:jc w:val="center"/>
        </w:trPr>
        <w:tc>
          <w:tcPr>
            <w:tcW w:w="177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6789A34" w14:textId="77777777" w:rsidR="0075392D" w:rsidRPr="0075392D" w:rsidRDefault="0075392D" w:rsidP="002B1415">
            <w:pPr>
              <w:pStyle w:val="TabletextrowsAgency"/>
              <w:spacing w:line="240" w:lineRule="auto"/>
              <w:jc w:val="both"/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75392D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val="it-IT" w:eastAsia="it-IT"/>
              </w:rPr>
              <w:t>Informazioni mancanti</w:t>
            </w:r>
          </w:p>
        </w:tc>
        <w:tc>
          <w:tcPr>
            <w:tcW w:w="32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0B84D" w14:textId="77777777" w:rsidR="0075392D" w:rsidRPr="0075392D" w:rsidRDefault="0075392D" w:rsidP="002B1415">
            <w:pPr>
              <w:spacing w:after="0" w:line="240" w:lineRule="auto"/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</w:pPr>
            <w:r w:rsidRPr="0075392D">
              <w:rPr>
                <w:rFonts w:eastAsia="Calibri" w:cstheme="minorHAnsi"/>
                <w:color w:val="000000"/>
                <w:sz w:val="24"/>
                <w:szCs w:val="24"/>
                <w:lang w:eastAsia="it-IT"/>
              </w:rPr>
              <w:t>Esposizione durante la gravidanza e l'allattamento</w:t>
            </w:r>
          </w:p>
        </w:tc>
      </w:tr>
    </w:tbl>
    <w:p w14:paraId="57142396" w14:textId="77777777" w:rsidR="0075392D" w:rsidRPr="0075392D" w:rsidRDefault="0075392D" w:rsidP="0075392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AA60A22" w14:textId="77777777" w:rsidR="0075392D" w:rsidRPr="0075392D" w:rsidRDefault="0075392D" w:rsidP="0075392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75392D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0EDF8FA0" w14:textId="77777777" w:rsidR="0075392D" w:rsidRPr="0075392D" w:rsidRDefault="0075392D" w:rsidP="0075392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5392D">
        <w:rPr>
          <w:rFonts w:cstheme="minorHAnsi"/>
          <w:sz w:val="24"/>
          <w:szCs w:val="24"/>
        </w:rPr>
        <w:t xml:space="preserve">Oltre le misure previste nel Riassunto delle caratteristiche del prodotto non sono previste attività addizionali di minimizzazione del rischio. </w:t>
      </w:r>
    </w:p>
    <w:p w14:paraId="3195955D" w14:textId="77777777" w:rsidR="0075392D" w:rsidRPr="0075392D" w:rsidRDefault="0075392D" w:rsidP="0075392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28FD904" w14:textId="77777777" w:rsidR="0075392D" w:rsidRPr="00A31CC1" w:rsidRDefault="0075392D" w:rsidP="0075392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75392D">
        <w:rPr>
          <w:rFonts w:cstheme="minorHAnsi"/>
          <w:sz w:val="24"/>
          <w:szCs w:val="24"/>
        </w:rPr>
        <w:lastRenderedPageBreak/>
        <w:t xml:space="preserve">Per maggiori dettagli circa le attività di farmacovigilanza previste per </w:t>
      </w:r>
      <w:r w:rsidRPr="0075392D">
        <w:rPr>
          <w:rFonts w:eastAsia="Calibri" w:cstheme="minorHAnsi"/>
          <w:color w:val="000000"/>
          <w:sz w:val="24"/>
          <w:szCs w:val="24"/>
          <w:lang w:eastAsia="it-IT"/>
        </w:rPr>
        <w:t>SITAGLIPTIN ABDI si può consultare il</w:t>
      </w:r>
      <w:r w:rsidRPr="0075392D">
        <w:rPr>
          <w:rFonts w:cstheme="minorHAnsi"/>
          <w:sz w:val="24"/>
          <w:szCs w:val="24"/>
        </w:rPr>
        <w:t xml:space="preserve"> “</w:t>
      </w:r>
      <w:proofErr w:type="spellStart"/>
      <w:r w:rsidRPr="0075392D">
        <w:rPr>
          <w:rFonts w:cstheme="minorHAnsi"/>
          <w:sz w:val="24"/>
          <w:szCs w:val="24"/>
        </w:rPr>
        <w:t>Summary</w:t>
      </w:r>
      <w:proofErr w:type="spellEnd"/>
      <w:r w:rsidRPr="0075392D">
        <w:rPr>
          <w:rFonts w:cstheme="minorHAnsi"/>
          <w:sz w:val="24"/>
          <w:szCs w:val="24"/>
        </w:rPr>
        <w:t xml:space="preserve"> RMP” allegato.</w:t>
      </w:r>
    </w:p>
    <w:p w14:paraId="1DEC0FF3" w14:textId="77777777" w:rsidR="009254CC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3974FD2C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11A64DD6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6B8FDC32" w14:textId="157452E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Il foglio illustrativo è stato sottoposto al test di leggibilità in accordo ai requisiti dell’art. 59(3) e 61(1) de</w:t>
      </w:r>
      <w:r w:rsidR="00F106A0">
        <w:rPr>
          <w:rFonts w:cstheme="minorHAnsi"/>
          <w:sz w:val="24"/>
          <w:szCs w:val="24"/>
        </w:rPr>
        <w:t xml:space="preserve">lla direttiva 2001/83/EU </w:t>
      </w:r>
      <w:proofErr w:type="spellStart"/>
      <w:r w:rsidR="00F106A0">
        <w:rPr>
          <w:rFonts w:cstheme="minorHAnsi"/>
          <w:sz w:val="24"/>
          <w:szCs w:val="24"/>
        </w:rPr>
        <w:t>s.m.i.</w:t>
      </w:r>
      <w:proofErr w:type="spellEnd"/>
      <w:r w:rsidR="00F106A0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i risultati del test hanno dimostrato che il foglio illustrativo corrisponde ai criteri imposti dalla linea guida sulla leggibilità di etichetta e foglio illustrativo dei medicinali per uso umano.</w:t>
      </w:r>
    </w:p>
    <w:p w14:paraId="473385D4" w14:textId="7450BBAA" w:rsidR="004631F3" w:rsidRPr="00A31CC1" w:rsidRDefault="004631F3" w:rsidP="008C73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1EA1FE2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3829F7AD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5E2AD99B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EAED0C" w14:textId="5E5D16B2" w:rsidR="00BE7CDB" w:rsidRDefault="00BE7CDB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Lo studio di </w:t>
      </w:r>
      <w:proofErr w:type="spellStart"/>
      <w:r w:rsidRPr="00A31CC1">
        <w:rPr>
          <w:rFonts w:cstheme="minorHAnsi"/>
          <w:sz w:val="24"/>
          <w:szCs w:val="24"/>
        </w:rPr>
        <w:t>bioequivalenza</w:t>
      </w:r>
      <w:proofErr w:type="spellEnd"/>
      <w:r w:rsidRPr="00A31CC1">
        <w:rPr>
          <w:rFonts w:cstheme="minorHAnsi"/>
          <w:sz w:val="24"/>
          <w:szCs w:val="24"/>
        </w:rPr>
        <w:t xml:space="preserve"> e le sue conclusioni confermano che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il medicinale di riferimento </w:t>
      </w:r>
      <w:proofErr w:type="spellStart"/>
      <w:r w:rsidR="00F16316">
        <w:rPr>
          <w:rFonts w:cstheme="minorHAnsi"/>
          <w:sz w:val="24"/>
          <w:szCs w:val="24"/>
        </w:rPr>
        <w:t>Januvia</w:t>
      </w:r>
      <w:proofErr w:type="spellEnd"/>
      <w:r w:rsidR="00071E63" w:rsidRPr="00A31CC1">
        <w:rPr>
          <w:rFonts w:cstheme="minorHAnsi"/>
          <w:sz w:val="24"/>
          <w:szCs w:val="24"/>
        </w:rPr>
        <w:t xml:space="preserve"> </w:t>
      </w:r>
      <w:r w:rsidR="00F90F1F" w:rsidRPr="00A31CC1">
        <w:rPr>
          <w:rFonts w:cstheme="minorHAnsi"/>
          <w:sz w:val="24"/>
          <w:szCs w:val="24"/>
        </w:rPr>
        <w:t xml:space="preserve">sono </w:t>
      </w:r>
      <w:proofErr w:type="spellStart"/>
      <w:r w:rsidR="00F90F1F" w:rsidRPr="00A31CC1">
        <w:rPr>
          <w:rFonts w:cstheme="minorHAnsi"/>
          <w:sz w:val="24"/>
          <w:szCs w:val="24"/>
        </w:rPr>
        <w:t>bioequivalenti</w:t>
      </w:r>
      <w:proofErr w:type="spellEnd"/>
      <w:r w:rsidRPr="00A31CC1">
        <w:rPr>
          <w:rFonts w:cstheme="minorHAnsi"/>
          <w:sz w:val="24"/>
          <w:szCs w:val="24"/>
        </w:rPr>
        <w:t>.</w:t>
      </w:r>
    </w:p>
    <w:p w14:paraId="523E0D0F" w14:textId="77777777" w:rsidR="00F44B8C" w:rsidRPr="00A31CC1" w:rsidRDefault="00F44B8C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6C98BB64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67181B">
        <w:rPr>
          <w:rFonts w:eastAsia="Calibri" w:cstheme="minorHAnsi"/>
          <w:color w:val="000000"/>
          <w:sz w:val="24"/>
          <w:szCs w:val="24"/>
          <w:lang w:eastAsia="it-IT"/>
        </w:rPr>
        <w:t>SITAGLIPTIN ABDI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48CD537E" w14:textId="73854C30" w:rsidR="006B311C" w:rsidRPr="0075392D" w:rsidRDefault="004E5A39" w:rsidP="0075392D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hyperlink r:id="rId12" w:anchor="/it/" w:history="1">
        <w:r w:rsidR="00F106A0" w:rsidRPr="00705407">
          <w:rPr>
            <w:rStyle w:val="Collegamentoipertestuale"/>
            <w:rFonts w:cstheme="minorHAnsi"/>
            <w:sz w:val="24"/>
            <w:szCs w:val="24"/>
          </w:rPr>
          <w:t>https://medicinali.aifa.gov.it/it/#/it/</w:t>
        </w:r>
      </w:hyperlink>
      <w:r w:rsidR="00F106A0">
        <w:rPr>
          <w:rFonts w:cstheme="minorHAnsi"/>
          <w:sz w:val="24"/>
          <w:szCs w:val="24"/>
        </w:rPr>
        <w:t xml:space="preserve"> </w:t>
      </w:r>
      <w:r w:rsidR="00F16316">
        <w:rPr>
          <w:rFonts w:cstheme="minorHAnsi"/>
          <w:sz w:val="24"/>
          <w:szCs w:val="24"/>
        </w:rPr>
        <w:t>.</w:t>
      </w:r>
    </w:p>
    <w:sectPr w:rsidR="006B311C" w:rsidRPr="0075392D" w:rsidSect="00EF671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AA0C4" w14:textId="77777777" w:rsidR="00722770" w:rsidRDefault="00722770" w:rsidP="00C07183">
      <w:pPr>
        <w:spacing w:after="0" w:line="240" w:lineRule="auto"/>
      </w:pPr>
      <w:r>
        <w:separator/>
      </w:r>
    </w:p>
  </w:endnote>
  <w:endnote w:type="continuationSeparator" w:id="0">
    <w:p w14:paraId="46A6E59D" w14:textId="77777777" w:rsidR="00722770" w:rsidRDefault="00722770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16E9A" w14:textId="77777777" w:rsidR="0067181B" w:rsidRDefault="006718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66231"/>
      <w:docPartObj>
        <w:docPartGallery w:val="Page Numbers (Bottom of Page)"/>
        <w:docPartUnique/>
      </w:docPartObj>
    </w:sdtPr>
    <w:sdtEndPr/>
    <w:sdtContent>
      <w:p w14:paraId="6BFEAD53" w14:textId="3C57CD8F" w:rsidR="0067181B" w:rsidRDefault="0067181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420">
          <w:rPr>
            <w:noProof/>
          </w:rPr>
          <w:t>12</w:t>
        </w:r>
        <w:r>
          <w:fldChar w:fldCharType="end"/>
        </w:r>
      </w:p>
    </w:sdtContent>
  </w:sdt>
  <w:p w14:paraId="6F5CE743" w14:textId="464F51B7" w:rsidR="0067181B" w:rsidRDefault="006718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834E7" w14:textId="77777777" w:rsidR="0067181B" w:rsidRDefault="006718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6BDFB" w14:textId="77777777" w:rsidR="00722770" w:rsidRDefault="00722770" w:rsidP="00C07183">
      <w:pPr>
        <w:spacing w:after="0" w:line="240" w:lineRule="auto"/>
      </w:pPr>
      <w:r>
        <w:separator/>
      </w:r>
    </w:p>
  </w:footnote>
  <w:footnote w:type="continuationSeparator" w:id="0">
    <w:p w14:paraId="3AB51ED6" w14:textId="77777777" w:rsidR="00722770" w:rsidRDefault="00722770" w:rsidP="00C07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63866" w14:textId="77777777" w:rsidR="0067181B" w:rsidRDefault="006718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EF9E1" w14:textId="438AEAB3" w:rsidR="0067181B" w:rsidRDefault="0067181B" w:rsidP="00132B98">
    <w:pPr>
      <w:pStyle w:val="Intestazione"/>
    </w:pPr>
  </w:p>
  <w:p w14:paraId="214F02AB" w14:textId="77777777" w:rsidR="0067181B" w:rsidRDefault="0067181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1197" w14:textId="77777777" w:rsidR="0067181B" w:rsidRDefault="006718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97D56"/>
    <w:multiLevelType w:val="hybridMultilevel"/>
    <w:tmpl w:val="4A8EA69A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>
      <w:start w:val="1"/>
      <w:numFmt w:val="lowerRoman"/>
      <w:lvlText w:val="%3."/>
      <w:lvlJc w:val="right"/>
      <w:pPr>
        <w:ind w:left="3011" w:hanging="180"/>
      </w:pPr>
    </w:lvl>
    <w:lvl w:ilvl="3" w:tplc="0410000F">
      <w:start w:val="1"/>
      <w:numFmt w:val="decimal"/>
      <w:lvlText w:val="%4."/>
      <w:lvlJc w:val="left"/>
      <w:pPr>
        <w:ind w:left="3731" w:hanging="360"/>
      </w:pPr>
    </w:lvl>
    <w:lvl w:ilvl="4" w:tplc="04100019">
      <w:start w:val="1"/>
      <w:numFmt w:val="lowerLetter"/>
      <w:lvlText w:val="%5."/>
      <w:lvlJc w:val="left"/>
      <w:pPr>
        <w:ind w:left="4451" w:hanging="360"/>
      </w:pPr>
    </w:lvl>
    <w:lvl w:ilvl="5" w:tplc="0410001B">
      <w:start w:val="1"/>
      <w:numFmt w:val="lowerRoman"/>
      <w:lvlText w:val="%6."/>
      <w:lvlJc w:val="right"/>
      <w:pPr>
        <w:ind w:left="5171" w:hanging="180"/>
      </w:pPr>
    </w:lvl>
    <w:lvl w:ilvl="6" w:tplc="0410000F">
      <w:start w:val="1"/>
      <w:numFmt w:val="decimal"/>
      <w:lvlText w:val="%7."/>
      <w:lvlJc w:val="left"/>
      <w:pPr>
        <w:ind w:left="5891" w:hanging="360"/>
      </w:pPr>
    </w:lvl>
    <w:lvl w:ilvl="7" w:tplc="04100019">
      <w:start w:val="1"/>
      <w:numFmt w:val="lowerLetter"/>
      <w:lvlText w:val="%8."/>
      <w:lvlJc w:val="left"/>
      <w:pPr>
        <w:ind w:left="6611" w:hanging="360"/>
      </w:pPr>
    </w:lvl>
    <w:lvl w:ilvl="8" w:tplc="0410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8017F"/>
    <w:multiLevelType w:val="hybridMultilevel"/>
    <w:tmpl w:val="0122D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B3AF7"/>
    <w:multiLevelType w:val="hybridMultilevel"/>
    <w:tmpl w:val="41A851CA"/>
    <w:lvl w:ilvl="0" w:tplc="B268C8BA">
      <w:start w:val="1"/>
      <w:numFmt w:val="lowerLetter"/>
      <w:lvlText w:val="%1."/>
      <w:lvlJc w:val="left"/>
      <w:pPr>
        <w:ind w:left="4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134A"/>
    <w:rsid w:val="00006840"/>
    <w:rsid w:val="00010F5F"/>
    <w:rsid w:val="00013020"/>
    <w:rsid w:val="00014743"/>
    <w:rsid w:val="0002205E"/>
    <w:rsid w:val="00022511"/>
    <w:rsid w:val="00022F32"/>
    <w:rsid w:val="00023CEA"/>
    <w:rsid w:val="00035917"/>
    <w:rsid w:val="00035DB7"/>
    <w:rsid w:val="00046E1D"/>
    <w:rsid w:val="00050F6A"/>
    <w:rsid w:val="00062636"/>
    <w:rsid w:val="00071E63"/>
    <w:rsid w:val="000759F6"/>
    <w:rsid w:val="000808A3"/>
    <w:rsid w:val="000A4BA1"/>
    <w:rsid w:val="000B7AC8"/>
    <w:rsid w:val="000C1389"/>
    <w:rsid w:val="000E1F86"/>
    <w:rsid w:val="000E4494"/>
    <w:rsid w:val="000E4A73"/>
    <w:rsid w:val="000F3B7B"/>
    <w:rsid w:val="000F405C"/>
    <w:rsid w:val="000F658F"/>
    <w:rsid w:val="00111E9E"/>
    <w:rsid w:val="00112B76"/>
    <w:rsid w:val="00126BC8"/>
    <w:rsid w:val="00132B98"/>
    <w:rsid w:val="001334B1"/>
    <w:rsid w:val="001460CA"/>
    <w:rsid w:val="0016526F"/>
    <w:rsid w:val="00165D07"/>
    <w:rsid w:val="00172AED"/>
    <w:rsid w:val="00185243"/>
    <w:rsid w:val="00194300"/>
    <w:rsid w:val="00195C98"/>
    <w:rsid w:val="001A516D"/>
    <w:rsid w:val="001A5B9A"/>
    <w:rsid w:val="001B2799"/>
    <w:rsid w:val="001B599D"/>
    <w:rsid w:val="001C15DF"/>
    <w:rsid w:val="001C4323"/>
    <w:rsid w:val="001E591B"/>
    <w:rsid w:val="001F0D20"/>
    <w:rsid w:val="001F5E2F"/>
    <w:rsid w:val="00215CDD"/>
    <w:rsid w:val="0021736D"/>
    <w:rsid w:val="00221C4C"/>
    <w:rsid w:val="0023205C"/>
    <w:rsid w:val="002441E2"/>
    <w:rsid w:val="00245B04"/>
    <w:rsid w:val="00252FE8"/>
    <w:rsid w:val="00253B4F"/>
    <w:rsid w:val="002554FE"/>
    <w:rsid w:val="00265B61"/>
    <w:rsid w:val="002744F3"/>
    <w:rsid w:val="00277A0E"/>
    <w:rsid w:val="00287A38"/>
    <w:rsid w:val="00295EEA"/>
    <w:rsid w:val="00297F10"/>
    <w:rsid w:val="002A05B9"/>
    <w:rsid w:val="002A1800"/>
    <w:rsid w:val="002A3CA7"/>
    <w:rsid w:val="002B662A"/>
    <w:rsid w:val="002C2324"/>
    <w:rsid w:val="002C2D9F"/>
    <w:rsid w:val="002E3616"/>
    <w:rsid w:val="002F10F8"/>
    <w:rsid w:val="002F2543"/>
    <w:rsid w:val="002F4000"/>
    <w:rsid w:val="00300BEA"/>
    <w:rsid w:val="00305B55"/>
    <w:rsid w:val="003061E0"/>
    <w:rsid w:val="00323648"/>
    <w:rsid w:val="003238CF"/>
    <w:rsid w:val="00330DFA"/>
    <w:rsid w:val="00340DC4"/>
    <w:rsid w:val="003460E9"/>
    <w:rsid w:val="00353838"/>
    <w:rsid w:val="003544C6"/>
    <w:rsid w:val="00367CE0"/>
    <w:rsid w:val="00387CA8"/>
    <w:rsid w:val="00390D92"/>
    <w:rsid w:val="003949F9"/>
    <w:rsid w:val="003B0421"/>
    <w:rsid w:val="003B68D5"/>
    <w:rsid w:val="003C054E"/>
    <w:rsid w:val="003E1E83"/>
    <w:rsid w:val="0041387F"/>
    <w:rsid w:val="004139CE"/>
    <w:rsid w:val="004214DB"/>
    <w:rsid w:val="0042214D"/>
    <w:rsid w:val="00423A97"/>
    <w:rsid w:val="004241AC"/>
    <w:rsid w:val="00435039"/>
    <w:rsid w:val="00441071"/>
    <w:rsid w:val="00442A9D"/>
    <w:rsid w:val="00445DB2"/>
    <w:rsid w:val="004509BC"/>
    <w:rsid w:val="004532E2"/>
    <w:rsid w:val="00453821"/>
    <w:rsid w:val="004609F8"/>
    <w:rsid w:val="00461D93"/>
    <w:rsid w:val="004621A2"/>
    <w:rsid w:val="004631F3"/>
    <w:rsid w:val="00477F06"/>
    <w:rsid w:val="00482C32"/>
    <w:rsid w:val="004929FD"/>
    <w:rsid w:val="004B20A8"/>
    <w:rsid w:val="004B5B15"/>
    <w:rsid w:val="004C3C52"/>
    <w:rsid w:val="004E28E5"/>
    <w:rsid w:val="004E5A39"/>
    <w:rsid w:val="004E70F5"/>
    <w:rsid w:val="004F343B"/>
    <w:rsid w:val="00500ACA"/>
    <w:rsid w:val="005049A1"/>
    <w:rsid w:val="00504FC1"/>
    <w:rsid w:val="005250B6"/>
    <w:rsid w:val="005256F6"/>
    <w:rsid w:val="005271D9"/>
    <w:rsid w:val="00532E70"/>
    <w:rsid w:val="00550115"/>
    <w:rsid w:val="0055188B"/>
    <w:rsid w:val="0056372C"/>
    <w:rsid w:val="005637E9"/>
    <w:rsid w:val="00567615"/>
    <w:rsid w:val="005744D4"/>
    <w:rsid w:val="00577746"/>
    <w:rsid w:val="00577DAC"/>
    <w:rsid w:val="005826A6"/>
    <w:rsid w:val="005950D6"/>
    <w:rsid w:val="005A37E4"/>
    <w:rsid w:val="005A466E"/>
    <w:rsid w:val="005A4BBD"/>
    <w:rsid w:val="005B4C97"/>
    <w:rsid w:val="005C2427"/>
    <w:rsid w:val="005C45B7"/>
    <w:rsid w:val="005D18E5"/>
    <w:rsid w:val="005E148A"/>
    <w:rsid w:val="005F22A0"/>
    <w:rsid w:val="005F54B1"/>
    <w:rsid w:val="00601021"/>
    <w:rsid w:val="00603182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67163"/>
    <w:rsid w:val="0067181B"/>
    <w:rsid w:val="006727BD"/>
    <w:rsid w:val="006A3A37"/>
    <w:rsid w:val="006A7B5F"/>
    <w:rsid w:val="006B311C"/>
    <w:rsid w:val="006B3E12"/>
    <w:rsid w:val="006B45FF"/>
    <w:rsid w:val="006C0722"/>
    <w:rsid w:val="006C08B4"/>
    <w:rsid w:val="006C5811"/>
    <w:rsid w:val="006D4C6B"/>
    <w:rsid w:val="006D7B8C"/>
    <w:rsid w:val="006F44C7"/>
    <w:rsid w:val="00712DB3"/>
    <w:rsid w:val="00716DF5"/>
    <w:rsid w:val="007170D7"/>
    <w:rsid w:val="007221B6"/>
    <w:rsid w:val="00722770"/>
    <w:rsid w:val="00745609"/>
    <w:rsid w:val="00747DF3"/>
    <w:rsid w:val="00747E46"/>
    <w:rsid w:val="0075392D"/>
    <w:rsid w:val="00766E26"/>
    <w:rsid w:val="0078608F"/>
    <w:rsid w:val="0078680B"/>
    <w:rsid w:val="00792190"/>
    <w:rsid w:val="00797416"/>
    <w:rsid w:val="007A14F4"/>
    <w:rsid w:val="007A1C0E"/>
    <w:rsid w:val="007C0622"/>
    <w:rsid w:val="007D2539"/>
    <w:rsid w:val="007E4E98"/>
    <w:rsid w:val="007E5AE1"/>
    <w:rsid w:val="00811B01"/>
    <w:rsid w:val="00823989"/>
    <w:rsid w:val="00823E9B"/>
    <w:rsid w:val="00823F4C"/>
    <w:rsid w:val="00824EF9"/>
    <w:rsid w:val="008375CF"/>
    <w:rsid w:val="008531ED"/>
    <w:rsid w:val="00853EC6"/>
    <w:rsid w:val="008547B3"/>
    <w:rsid w:val="008767B9"/>
    <w:rsid w:val="008819D4"/>
    <w:rsid w:val="00881BCB"/>
    <w:rsid w:val="0088216F"/>
    <w:rsid w:val="00890A5C"/>
    <w:rsid w:val="008A6FEC"/>
    <w:rsid w:val="008B1F61"/>
    <w:rsid w:val="008B214E"/>
    <w:rsid w:val="008B46E3"/>
    <w:rsid w:val="008B60D7"/>
    <w:rsid w:val="008C3877"/>
    <w:rsid w:val="008C3D30"/>
    <w:rsid w:val="008C736D"/>
    <w:rsid w:val="008C75F9"/>
    <w:rsid w:val="008D1529"/>
    <w:rsid w:val="008D7307"/>
    <w:rsid w:val="008E3D9E"/>
    <w:rsid w:val="008F117D"/>
    <w:rsid w:val="008F69A7"/>
    <w:rsid w:val="009232AA"/>
    <w:rsid w:val="009254CC"/>
    <w:rsid w:val="009354FF"/>
    <w:rsid w:val="00943785"/>
    <w:rsid w:val="009565BA"/>
    <w:rsid w:val="009568D6"/>
    <w:rsid w:val="00957832"/>
    <w:rsid w:val="00965432"/>
    <w:rsid w:val="00983038"/>
    <w:rsid w:val="0098470E"/>
    <w:rsid w:val="00987584"/>
    <w:rsid w:val="0099120C"/>
    <w:rsid w:val="00997646"/>
    <w:rsid w:val="00997F05"/>
    <w:rsid w:val="009A23DE"/>
    <w:rsid w:val="009A260F"/>
    <w:rsid w:val="009B03DB"/>
    <w:rsid w:val="009B1E44"/>
    <w:rsid w:val="009C3E8B"/>
    <w:rsid w:val="009D3446"/>
    <w:rsid w:val="009D6311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3CC2"/>
    <w:rsid w:val="00A247C5"/>
    <w:rsid w:val="00A31CC1"/>
    <w:rsid w:val="00A320ED"/>
    <w:rsid w:val="00A40FF3"/>
    <w:rsid w:val="00A47604"/>
    <w:rsid w:val="00A62D55"/>
    <w:rsid w:val="00A83AB4"/>
    <w:rsid w:val="00A84362"/>
    <w:rsid w:val="00A86F5A"/>
    <w:rsid w:val="00A908B9"/>
    <w:rsid w:val="00A966D1"/>
    <w:rsid w:val="00AA516E"/>
    <w:rsid w:val="00AC0DDE"/>
    <w:rsid w:val="00AC31D4"/>
    <w:rsid w:val="00AC3E39"/>
    <w:rsid w:val="00AC586B"/>
    <w:rsid w:val="00AD051C"/>
    <w:rsid w:val="00AD352B"/>
    <w:rsid w:val="00AD4BE6"/>
    <w:rsid w:val="00AF52E2"/>
    <w:rsid w:val="00B023E9"/>
    <w:rsid w:val="00B03E01"/>
    <w:rsid w:val="00B10F17"/>
    <w:rsid w:val="00B1186F"/>
    <w:rsid w:val="00B15135"/>
    <w:rsid w:val="00B30431"/>
    <w:rsid w:val="00B47E20"/>
    <w:rsid w:val="00B51571"/>
    <w:rsid w:val="00B57E1F"/>
    <w:rsid w:val="00B862CA"/>
    <w:rsid w:val="00BA0ACD"/>
    <w:rsid w:val="00BA77AD"/>
    <w:rsid w:val="00BB2AF8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5C8C"/>
    <w:rsid w:val="00C17BE2"/>
    <w:rsid w:val="00C23A1E"/>
    <w:rsid w:val="00C2462C"/>
    <w:rsid w:val="00C2565A"/>
    <w:rsid w:val="00C344A5"/>
    <w:rsid w:val="00C35B02"/>
    <w:rsid w:val="00C4294E"/>
    <w:rsid w:val="00C42AAC"/>
    <w:rsid w:val="00C50582"/>
    <w:rsid w:val="00C51FF1"/>
    <w:rsid w:val="00C56FA9"/>
    <w:rsid w:val="00C66597"/>
    <w:rsid w:val="00C7332C"/>
    <w:rsid w:val="00C74500"/>
    <w:rsid w:val="00CC1489"/>
    <w:rsid w:val="00CC52A3"/>
    <w:rsid w:val="00CC7AFF"/>
    <w:rsid w:val="00CD4358"/>
    <w:rsid w:val="00CE62A1"/>
    <w:rsid w:val="00CF08A6"/>
    <w:rsid w:val="00CF3EA2"/>
    <w:rsid w:val="00D037ED"/>
    <w:rsid w:val="00D20170"/>
    <w:rsid w:val="00D212AA"/>
    <w:rsid w:val="00D22C34"/>
    <w:rsid w:val="00D349B9"/>
    <w:rsid w:val="00D36F9A"/>
    <w:rsid w:val="00D60600"/>
    <w:rsid w:val="00D6711E"/>
    <w:rsid w:val="00D80431"/>
    <w:rsid w:val="00DA5F9B"/>
    <w:rsid w:val="00DB021E"/>
    <w:rsid w:val="00DB359A"/>
    <w:rsid w:val="00DC187E"/>
    <w:rsid w:val="00DF5BFE"/>
    <w:rsid w:val="00E10D6C"/>
    <w:rsid w:val="00E207B1"/>
    <w:rsid w:val="00E20E87"/>
    <w:rsid w:val="00E25D34"/>
    <w:rsid w:val="00E26828"/>
    <w:rsid w:val="00E36EF4"/>
    <w:rsid w:val="00E42578"/>
    <w:rsid w:val="00E43089"/>
    <w:rsid w:val="00E45EA3"/>
    <w:rsid w:val="00E5360B"/>
    <w:rsid w:val="00E65A3F"/>
    <w:rsid w:val="00E74318"/>
    <w:rsid w:val="00E83F8D"/>
    <w:rsid w:val="00E8749D"/>
    <w:rsid w:val="00EA0C3F"/>
    <w:rsid w:val="00EA2159"/>
    <w:rsid w:val="00EB4398"/>
    <w:rsid w:val="00EC33C5"/>
    <w:rsid w:val="00EC3589"/>
    <w:rsid w:val="00ED19E3"/>
    <w:rsid w:val="00ED72E4"/>
    <w:rsid w:val="00EF062E"/>
    <w:rsid w:val="00EF6711"/>
    <w:rsid w:val="00F0524C"/>
    <w:rsid w:val="00F106A0"/>
    <w:rsid w:val="00F1246A"/>
    <w:rsid w:val="00F16316"/>
    <w:rsid w:val="00F24420"/>
    <w:rsid w:val="00F27165"/>
    <w:rsid w:val="00F27C7F"/>
    <w:rsid w:val="00F35F38"/>
    <w:rsid w:val="00F44B8C"/>
    <w:rsid w:val="00F53D3A"/>
    <w:rsid w:val="00F61CF9"/>
    <w:rsid w:val="00F66767"/>
    <w:rsid w:val="00F67DFC"/>
    <w:rsid w:val="00F70FE8"/>
    <w:rsid w:val="00F76F77"/>
    <w:rsid w:val="00F84DA2"/>
    <w:rsid w:val="00F85989"/>
    <w:rsid w:val="00F90F1F"/>
    <w:rsid w:val="00F96473"/>
    <w:rsid w:val="00F964BE"/>
    <w:rsid w:val="00FA2702"/>
    <w:rsid w:val="00FA271D"/>
    <w:rsid w:val="00FB3BF5"/>
    <w:rsid w:val="00FB4181"/>
    <w:rsid w:val="00FC0183"/>
    <w:rsid w:val="00FD415D"/>
    <w:rsid w:val="00FF2DE3"/>
    <w:rsid w:val="00FF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link w:val="BodytextAgencyChar"/>
    <w:qFormat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styleId="Collegamentovisitato">
    <w:name w:val="FollowedHyperlink"/>
    <w:basedOn w:val="Carpredefinitoparagrafo"/>
    <w:uiPriority w:val="99"/>
    <w:semiHidden/>
    <w:unhideWhenUsed/>
    <w:rsid w:val="00532E70"/>
    <w:rPr>
      <w:color w:val="800080" w:themeColor="followedHyperlink"/>
      <w:u w:val="single"/>
    </w:rPr>
  </w:style>
  <w:style w:type="character" w:customStyle="1" w:styleId="BodytextAgencyChar">
    <w:name w:val="Body text (Agency) Char"/>
    <w:link w:val="BodytextAgency"/>
    <w:locked/>
    <w:rsid w:val="00287A38"/>
    <w:rPr>
      <w:rFonts w:ascii="Verdana" w:eastAsia="Times New Roman" w:hAnsi="Verdana" w:cs="Verdana"/>
      <w:sz w:val="18"/>
      <w:szCs w:val="18"/>
      <w:lang w:val="en-GB" w:eastAsia="en-GB"/>
    </w:rPr>
  </w:style>
  <w:style w:type="paragraph" w:customStyle="1" w:styleId="Sarkain2">
    <w:name w:val="Sarkain2"/>
    <w:basedOn w:val="Normale"/>
    <w:rsid w:val="005A37E4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character" w:customStyle="1" w:styleId="RientronormaleCarattere">
    <w:name w:val="Rientro normale Carattere"/>
    <w:link w:val="Rientronormale"/>
    <w:locked/>
    <w:rsid w:val="00F16316"/>
    <w:rPr>
      <w:sz w:val="24"/>
      <w:lang w:val="fi-FI" w:eastAsia="fi-FI"/>
    </w:rPr>
  </w:style>
  <w:style w:type="paragraph" w:styleId="Rientronormale">
    <w:name w:val="Normal Indent"/>
    <w:basedOn w:val="Normale"/>
    <w:link w:val="RientronormaleCarattere"/>
    <w:unhideWhenUsed/>
    <w:rsid w:val="00F16316"/>
    <w:pPr>
      <w:spacing w:after="0" w:line="240" w:lineRule="auto"/>
      <w:ind w:left="1304"/>
    </w:pPr>
    <w:rPr>
      <w:sz w:val="24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dicinali.aifa.gov.it/it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/it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F9C46-33F8-4C11-9190-B0AE21315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3804</Words>
  <Characters>21686</Characters>
  <Application>Microsoft Office Word</Application>
  <DocSecurity>0</DocSecurity>
  <Lines>180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8</cp:revision>
  <dcterms:created xsi:type="dcterms:W3CDTF">2025-11-27T13:28:00Z</dcterms:created>
  <dcterms:modified xsi:type="dcterms:W3CDTF">2025-12-18T13:43:00Z</dcterms:modified>
</cp:coreProperties>
</file>